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58C1" w:rsidRDefault="0016110B" w:rsidP="0046218E">
      <w:pPr>
        <w:spacing w:line="360" w:lineRule="auto"/>
        <w:rPr>
          <w:noProof/>
          <w:lang w:eastAsia="es-MX"/>
        </w:rPr>
      </w:pPr>
      <w:r>
        <w:rPr>
          <w:noProof/>
          <w:lang w:eastAsia="es-MX"/>
        </w:rPr>
        <mc:AlternateContent>
          <mc:Choice Requires="wpg">
            <w:drawing>
              <wp:anchor distT="0" distB="0" distL="114300" distR="114300" simplePos="0" relativeHeight="251659264" behindDoc="0" locked="0" layoutInCell="1" allowOverlap="1" wp14:anchorId="4197C0E6" wp14:editId="75CFFFEF">
                <wp:simplePos x="0" y="0"/>
                <wp:positionH relativeFrom="column">
                  <wp:posOffset>-556260</wp:posOffset>
                </wp:positionH>
                <wp:positionV relativeFrom="paragraph">
                  <wp:posOffset>690245</wp:posOffset>
                </wp:positionV>
                <wp:extent cx="6943725" cy="6048375"/>
                <wp:effectExtent l="0" t="0" r="0" b="9525"/>
                <wp:wrapNone/>
                <wp:docPr id="7" name="Grupo 7"/>
                <wp:cNvGraphicFramePr/>
                <a:graphic xmlns:a="http://schemas.openxmlformats.org/drawingml/2006/main">
                  <a:graphicData uri="http://schemas.microsoft.com/office/word/2010/wordprocessingGroup">
                    <wpg:wgp>
                      <wpg:cNvGrpSpPr/>
                      <wpg:grpSpPr>
                        <a:xfrm>
                          <a:off x="0" y="0"/>
                          <a:ext cx="6943725" cy="6048375"/>
                          <a:chOff x="0" y="0"/>
                          <a:chExt cx="5695950" cy="4598180"/>
                        </a:xfrm>
                      </wpg:grpSpPr>
                      <wps:wsp>
                        <wps:cNvPr id="10" name="Cuadro de texto 2"/>
                        <wps:cNvSpPr txBox="1">
                          <a:spLocks noChangeArrowheads="1"/>
                        </wps:cNvSpPr>
                        <wps:spPr bwMode="auto">
                          <a:xfrm>
                            <a:off x="0" y="0"/>
                            <a:ext cx="5695950" cy="1562100"/>
                          </a:xfrm>
                          <a:prstGeom prst="rect">
                            <a:avLst/>
                          </a:prstGeom>
                          <a:noFill/>
                          <a:ln w="9525">
                            <a:noFill/>
                            <a:miter lim="800000"/>
                            <a:headEnd/>
                            <a:tailEnd/>
                          </a:ln>
                        </wps:spPr>
                        <wps:txbx>
                          <w:txbxContent>
                            <w:p w:rsidR="007E1D23" w:rsidRPr="00E832D2" w:rsidRDefault="007E1D23" w:rsidP="007E1D23">
                              <w:pPr>
                                <w:spacing w:after="0" w:line="240" w:lineRule="auto"/>
                                <w:jc w:val="center"/>
                                <w:rPr>
                                  <w:rFonts w:ascii="Chiangmai Hostel" w:hAnsi="Chiangmai Hostel" w:cs="Angsana New"/>
                                  <w:b/>
                                  <w:color w:val="000000" w:themeColor="text1"/>
                                  <w:sz w:val="44"/>
                                  <w:szCs w:val="24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pPr>
                              <w:r w:rsidRPr="00E832D2">
                                <w:rPr>
                                  <w:rFonts w:ascii="Chiangmai Hostel" w:hAnsi="Chiangmai Hostel" w:cs="Angsana New"/>
                                  <w:b/>
                                  <w:color w:val="000000" w:themeColor="text1"/>
                                  <w:sz w:val="144"/>
                                  <w:szCs w:val="24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t>I</w:t>
                              </w:r>
                            </w:p>
                            <w:p w:rsidR="00985BD5" w:rsidRPr="00C552FF" w:rsidRDefault="00985BD5" w:rsidP="002558C1">
                              <w:pPr>
                                <w:spacing w:after="0" w:line="240" w:lineRule="auto"/>
                                <w:jc w:val="center"/>
                                <w:rPr>
                                  <w:rFonts w:ascii="Italianno" w:hAnsi="Italianno" w:cs="Angsana New"/>
                                  <w:color w:val="000000" w:themeColor="text1"/>
                                  <w:sz w:val="240"/>
                                  <w:szCs w:val="24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pPr>
                            </w:p>
                          </w:txbxContent>
                        </wps:txbx>
                        <wps:bodyPr rot="0" vert="horz" wrap="square" lIns="91440" tIns="45720" rIns="91440" bIns="45720" anchor="t" anchorCtr="0">
                          <a:noAutofit/>
                          <a:scene3d>
                            <a:camera prst="orthographicFront"/>
                            <a:lightRig rig="harsh" dir="t"/>
                          </a:scene3d>
                          <a:sp3d extrusionH="57150" prstMaterial="matte">
                            <a:bevelT w="63500" h="25400"/>
                            <a:bevelB w="0"/>
                            <a:contourClr>
                              <a:schemeClr val="bg1">
                                <a:lumMod val="65000"/>
                              </a:schemeClr>
                            </a:contourClr>
                          </a:sp3d>
                        </wps:bodyPr>
                      </wps:wsp>
                      <wps:wsp>
                        <wps:cNvPr id="13" name="Cuadro de texto 2"/>
                        <wps:cNvSpPr txBox="1">
                          <a:spLocks noChangeArrowheads="1"/>
                        </wps:cNvSpPr>
                        <wps:spPr bwMode="auto">
                          <a:xfrm>
                            <a:off x="0" y="1314450"/>
                            <a:ext cx="5695950" cy="1533525"/>
                          </a:xfrm>
                          <a:prstGeom prst="rect">
                            <a:avLst/>
                          </a:prstGeom>
                          <a:noFill/>
                          <a:ln w="9525">
                            <a:noFill/>
                            <a:miter lim="800000"/>
                            <a:headEnd/>
                            <a:tailEnd/>
                          </a:ln>
                        </wps:spPr>
                        <wps:txbx>
                          <w:txbxContent>
                            <w:p w:rsidR="00985BD5" w:rsidRPr="0016110B" w:rsidRDefault="0016110B" w:rsidP="002558C1">
                              <w:pPr>
                                <w:spacing w:after="0" w:line="240" w:lineRule="auto"/>
                                <w:jc w:val="center"/>
                                <w:rPr>
                                  <w:rFonts w:ascii="Italianno" w:hAnsi="Italianno" w:cs="Angsana New"/>
                                  <w:color w:val="000000" w:themeColor="text1"/>
                                  <w:sz w:val="220"/>
                                  <w:szCs w:val="24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pPr>
                              <w:r w:rsidRPr="0016110B">
                                <w:rPr>
                                  <w:rFonts w:ascii="Italianno" w:hAnsi="Italianno" w:cs="Angsana New"/>
                                  <w:color w:val="000000" w:themeColor="text1"/>
                                  <w:sz w:val="220"/>
                                  <w:szCs w:val="24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t>Marco</w:t>
                              </w:r>
                              <w:r w:rsidR="00985BD5" w:rsidRPr="0016110B">
                                <w:rPr>
                                  <w:rFonts w:ascii="Italianno" w:hAnsi="Italianno" w:cs="Angsana New"/>
                                  <w:color w:val="000000" w:themeColor="text1"/>
                                  <w:sz w:val="220"/>
                                  <w:szCs w:val="24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t xml:space="preserve"> </w:t>
                              </w:r>
                            </w:p>
                          </w:txbxContent>
                        </wps:txbx>
                        <wps:bodyPr rot="0" vert="horz" wrap="square" lIns="91440" tIns="45720" rIns="91440" bIns="45720" anchor="t" anchorCtr="0">
                          <a:noAutofit/>
                          <a:scene3d>
                            <a:camera prst="orthographicFront"/>
                            <a:lightRig rig="harsh" dir="t"/>
                          </a:scene3d>
                          <a:sp3d extrusionH="57150" prstMaterial="matte">
                            <a:bevelT w="63500" h="25400"/>
                            <a:bevelB w="0"/>
                            <a:contourClr>
                              <a:schemeClr val="bg1">
                                <a:lumMod val="65000"/>
                              </a:schemeClr>
                            </a:contourClr>
                          </a:sp3d>
                        </wps:bodyPr>
                      </wps:wsp>
                      <wps:wsp>
                        <wps:cNvPr id="24" name="Cuadro de texto 2"/>
                        <wps:cNvSpPr txBox="1">
                          <a:spLocks noChangeArrowheads="1"/>
                        </wps:cNvSpPr>
                        <wps:spPr bwMode="auto">
                          <a:xfrm>
                            <a:off x="0" y="2609851"/>
                            <a:ext cx="5695950" cy="1988329"/>
                          </a:xfrm>
                          <a:prstGeom prst="rect">
                            <a:avLst/>
                          </a:prstGeom>
                          <a:noFill/>
                          <a:ln w="9525">
                            <a:noFill/>
                            <a:miter lim="800000"/>
                            <a:headEnd/>
                            <a:tailEnd/>
                          </a:ln>
                        </wps:spPr>
                        <wps:txbx>
                          <w:txbxContent>
                            <w:p w:rsidR="00985BD5" w:rsidRPr="00C552FF" w:rsidRDefault="0016110B" w:rsidP="002558C1">
                              <w:pPr>
                                <w:spacing w:after="0" w:line="240" w:lineRule="auto"/>
                                <w:jc w:val="center"/>
                                <w:rPr>
                                  <w:rFonts w:ascii="Italianno" w:hAnsi="Italianno" w:cs="Angsana New"/>
                                  <w:color w:val="000000" w:themeColor="text1"/>
                                  <w:sz w:val="240"/>
                                  <w:szCs w:val="24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pPr>
                              <w:r w:rsidRPr="0016110B">
                                <w:rPr>
                                  <w:rFonts w:ascii="Italianno" w:hAnsi="Italianno" w:cs="Angsana New"/>
                                  <w:color w:val="000000" w:themeColor="text1"/>
                                  <w:sz w:val="220"/>
                                  <w:szCs w:val="24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t xml:space="preserve">Macroeconómico </w:t>
                              </w:r>
                            </w:p>
                          </w:txbxContent>
                        </wps:txbx>
                        <wps:bodyPr rot="0" vert="horz" wrap="square" lIns="91440" tIns="45720" rIns="91440" bIns="45720" anchor="t" anchorCtr="0">
                          <a:noAutofit/>
                          <a:scene3d>
                            <a:camera prst="orthographicFront"/>
                            <a:lightRig rig="harsh" dir="t"/>
                          </a:scene3d>
                          <a:sp3d extrusionH="57150" prstMaterial="matte">
                            <a:bevelT w="63500" h="25400"/>
                            <a:bevelB w="0"/>
                            <a:contourClr>
                              <a:schemeClr val="bg1">
                                <a:lumMod val="65000"/>
                              </a:schemeClr>
                            </a:contourClr>
                          </a:sp3d>
                        </wps:bodyPr>
                      </wps:wsp>
                    </wpg:wgp>
                  </a:graphicData>
                </a:graphic>
                <wp14:sizeRelH relativeFrom="margin">
                  <wp14:pctWidth>0</wp14:pctWidth>
                </wp14:sizeRelH>
                <wp14:sizeRelV relativeFrom="margin">
                  <wp14:pctHeight>0</wp14:pctHeight>
                </wp14:sizeRelV>
              </wp:anchor>
            </w:drawing>
          </mc:Choice>
          <mc:Fallback>
            <w:pict>
              <v:group id="Grupo 7" o:spid="_x0000_s1026" style="position:absolute;left:0;text-align:left;margin-left:-43.8pt;margin-top:54.35pt;width:546.75pt;height:476.25pt;z-index:251659264;mso-width-relative:margin;mso-height-relative:margin" coordsize="56959,45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">
                <v:shapetype id="_x0000_t202" coordsize="21600,21600" o:spt="202" path="m,l,21600r21600,l21600,xe">
                  <v:stroke joinstyle="miter"/>
                  <v:path gradientshapeok="t" o:connecttype="rect"/>
                </v:shapetype>
                <v:shape id="_x0000_s1027" type="#_x0000_t202" style="position:absolute;width:56959;height:15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7E1D23" w:rsidRPr="00E832D2" w:rsidRDefault="007E1D23" w:rsidP="007E1D23">
                        <w:pPr>
                          <w:spacing w:after="0" w:line="240" w:lineRule="auto"/>
                          <w:jc w:val="center"/>
                          <w:rPr>
                            <w:rFonts w:ascii="Chiangmai Hostel" w:hAnsi="Chiangmai Hostel" w:cs="Angsana New"/>
                            <w:b/>
                            <w:color w:val="000000" w:themeColor="text1"/>
                            <w:sz w:val="44"/>
                            <w:szCs w:val="24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pPr>
                        <w:r w:rsidRPr="00E832D2">
                          <w:rPr>
                            <w:rFonts w:ascii="Chiangmai Hostel" w:hAnsi="Chiangmai Hostel" w:cs="Angsana New"/>
                            <w:b/>
                            <w:color w:val="000000" w:themeColor="text1"/>
                            <w:sz w:val="144"/>
                            <w:szCs w:val="24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t>I</w:t>
                        </w:r>
                      </w:p>
                      <w:p w:rsidR="00985BD5" w:rsidRPr="00C552FF" w:rsidRDefault="00985BD5" w:rsidP="002558C1">
                        <w:pPr>
                          <w:spacing w:after="0" w:line="240" w:lineRule="auto"/>
                          <w:jc w:val="center"/>
                          <w:rPr>
                            <w:rFonts w:ascii="Italianno" w:hAnsi="Italianno" w:cs="Angsana New"/>
                            <w:color w:val="000000" w:themeColor="text1"/>
                            <w:sz w:val="240"/>
                            <w:szCs w:val="24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pPr>
                      </w:p>
                    </w:txbxContent>
                  </v:textbox>
                </v:shape>
                <v:shape id="_x0000_s1028" type="#_x0000_t202" style="position:absolute;top:13144;width:56959;height:15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985BD5" w:rsidRPr="0016110B" w:rsidRDefault="0016110B" w:rsidP="002558C1">
                        <w:pPr>
                          <w:spacing w:after="0" w:line="240" w:lineRule="auto"/>
                          <w:jc w:val="center"/>
                          <w:rPr>
                            <w:rFonts w:ascii="Italianno" w:hAnsi="Italianno" w:cs="Angsana New"/>
                            <w:color w:val="000000" w:themeColor="text1"/>
                            <w:sz w:val="220"/>
                            <w:szCs w:val="24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pPr>
                        <w:r w:rsidRPr="0016110B">
                          <w:rPr>
                            <w:rFonts w:ascii="Italianno" w:hAnsi="Italianno" w:cs="Angsana New"/>
                            <w:color w:val="000000" w:themeColor="text1"/>
                            <w:sz w:val="220"/>
                            <w:szCs w:val="24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t>Marco</w:t>
                        </w:r>
                        <w:r w:rsidR="00985BD5" w:rsidRPr="0016110B">
                          <w:rPr>
                            <w:rFonts w:ascii="Italianno" w:hAnsi="Italianno" w:cs="Angsana New"/>
                            <w:color w:val="000000" w:themeColor="text1"/>
                            <w:sz w:val="220"/>
                            <w:szCs w:val="24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t xml:space="preserve"> </w:t>
                        </w:r>
                      </w:p>
                    </w:txbxContent>
                  </v:textbox>
                </v:shape>
                <v:shape id="_x0000_s1029" type="#_x0000_t202" style="position:absolute;top:26098;width:56959;height:19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985BD5" w:rsidRPr="00C552FF" w:rsidRDefault="0016110B" w:rsidP="002558C1">
                        <w:pPr>
                          <w:spacing w:after="0" w:line="240" w:lineRule="auto"/>
                          <w:jc w:val="center"/>
                          <w:rPr>
                            <w:rFonts w:ascii="Italianno" w:hAnsi="Italianno" w:cs="Angsana New"/>
                            <w:color w:val="000000" w:themeColor="text1"/>
                            <w:sz w:val="240"/>
                            <w:szCs w:val="24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pPr>
                        <w:r w:rsidRPr="0016110B">
                          <w:rPr>
                            <w:rFonts w:ascii="Italianno" w:hAnsi="Italianno" w:cs="Angsana New"/>
                            <w:color w:val="000000" w:themeColor="text1"/>
                            <w:sz w:val="220"/>
                            <w:szCs w:val="24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t xml:space="preserve">Macroeconómico </w:t>
                        </w:r>
                      </w:p>
                    </w:txbxContent>
                  </v:textbox>
                </v:shape>
              </v:group>
            </w:pict>
          </mc:Fallback>
        </mc:AlternateContent>
      </w:r>
      <w:r w:rsidR="002558C1">
        <w:rPr>
          <w:noProof/>
          <w:lang w:eastAsia="es-MX"/>
        </w:rPr>
        <w:drawing>
          <wp:anchor distT="0" distB="0" distL="114300" distR="114300" simplePos="0" relativeHeight="251660288" behindDoc="1" locked="0" layoutInCell="1" allowOverlap="1" wp14:anchorId="678004CF" wp14:editId="3545609A">
            <wp:simplePos x="0" y="0"/>
            <wp:positionH relativeFrom="column">
              <wp:posOffset>-586105</wp:posOffset>
            </wp:positionH>
            <wp:positionV relativeFrom="paragraph">
              <wp:posOffset>-681355</wp:posOffset>
            </wp:positionV>
            <wp:extent cx="7198360" cy="9609455"/>
            <wp:effectExtent l="0" t="0" r="254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eparadorjpg2.jpg"/>
                    <pic:cNvPicPr/>
                  </pic:nvPicPr>
                  <pic:blipFill>
                    <a:blip r:embed="rId9">
                      <a:extLst>
                        <a:ext uri="{28A0092B-C50C-407E-A947-70E740481C1C}">
                          <a14:useLocalDpi xmlns:a14="http://schemas.microsoft.com/office/drawing/2010/main" val="0"/>
                        </a:ext>
                      </a:extLst>
                    </a:blip>
                    <a:stretch>
                      <a:fillRect/>
                    </a:stretch>
                  </pic:blipFill>
                  <pic:spPr>
                    <a:xfrm>
                      <a:off x="0" y="0"/>
                      <a:ext cx="7198360" cy="9609455"/>
                    </a:xfrm>
                    <a:prstGeom prst="rect">
                      <a:avLst/>
                    </a:prstGeom>
                  </pic:spPr>
                </pic:pic>
              </a:graphicData>
            </a:graphic>
            <wp14:sizeRelH relativeFrom="margin">
              <wp14:pctWidth>0</wp14:pctWidth>
            </wp14:sizeRelH>
            <wp14:sizeRelV relativeFrom="margin">
              <wp14:pctHeight>0</wp14:pctHeight>
            </wp14:sizeRelV>
          </wp:anchor>
        </w:drawing>
      </w:r>
      <w:sdt>
        <w:sdtPr>
          <w:rPr>
            <w:noProof/>
            <w:lang w:eastAsia="es-MX"/>
          </w:rPr>
          <w:id w:val="566922870"/>
          <w:docPartObj>
            <w:docPartGallery w:val="Cover Pages"/>
            <w:docPartUnique/>
          </w:docPartObj>
        </w:sdtPr>
        <w:sdtEndPr/>
        <w:sdtContent>
          <w:r w:rsidR="002558C1">
            <w:rPr>
              <w:noProof/>
              <w:lang w:eastAsia="es-MX"/>
            </w:rPr>
            <w:tab/>
          </w:r>
          <w:r w:rsidR="002558C1">
            <w:rPr>
              <w:noProof/>
              <w:lang w:eastAsia="es-MX"/>
            </w:rPr>
            <w:br w:type="page"/>
          </w:r>
        </w:sdtContent>
      </w:sdt>
    </w:p>
    <w:p w:rsidR="0041413F" w:rsidRPr="00320D16" w:rsidRDefault="0041413F" w:rsidP="00320D16">
      <w:pPr>
        <w:spacing w:line="360" w:lineRule="auto"/>
        <w:rPr>
          <w:rFonts w:ascii="Gotham" w:hAnsi="Gotham"/>
          <w:b/>
        </w:rPr>
      </w:pPr>
      <w:r w:rsidRPr="00320D16">
        <w:rPr>
          <w:rFonts w:ascii="Gotham" w:hAnsi="Gotham"/>
          <w:b/>
        </w:rPr>
        <w:lastRenderedPageBreak/>
        <w:t>I. MARCO MACROECONÓMICO</w:t>
      </w:r>
    </w:p>
    <w:p w:rsidR="00E84997" w:rsidRPr="00320D16" w:rsidRDefault="00E84997" w:rsidP="00320D16">
      <w:pPr>
        <w:spacing w:line="360" w:lineRule="auto"/>
        <w:rPr>
          <w:rFonts w:ascii="Gotham" w:hAnsi="Gotham"/>
        </w:rPr>
      </w:pPr>
      <w:r w:rsidRPr="00320D16">
        <w:rPr>
          <w:rFonts w:ascii="Gotham" w:hAnsi="Gotham"/>
        </w:rPr>
        <w:t>El panorama económico que acontece a nivel mundial es incierto, la emergencia en salud y otros efectos económicos derivados de</w:t>
      </w:r>
      <w:r w:rsidR="00E46BD3" w:rsidRPr="00320D16">
        <w:rPr>
          <w:rFonts w:ascii="Gotham" w:hAnsi="Gotham"/>
        </w:rPr>
        <w:t xml:space="preserve">l mercado externo, así como </w:t>
      </w:r>
      <w:r w:rsidRPr="00320D16">
        <w:rPr>
          <w:rFonts w:ascii="Gotham" w:hAnsi="Gotham"/>
        </w:rPr>
        <w:t>las medidas de contención del COVID-19 cambiaron radicalmente todas las previsiones que se habían estimado a principios de 2020</w:t>
      </w:r>
      <w:r w:rsidR="00674081" w:rsidRPr="00320D16">
        <w:rPr>
          <w:rFonts w:ascii="Gotham" w:hAnsi="Gotham"/>
        </w:rPr>
        <w:t xml:space="preserve">, </w:t>
      </w:r>
      <w:r w:rsidR="00BA23DF" w:rsidRPr="00320D16">
        <w:rPr>
          <w:rFonts w:ascii="Gotham" w:hAnsi="Gotham"/>
        </w:rPr>
        <w:t>por lo que l</w:t>
      </w:r>
      <w:r w:rsidRPr="00320D16">
        <w:rPr>
          <w:rFonts w:ascii="Gotham" w:hAnsi="Gotham"/>
        </w:rPr>
        <w:t xml:space="preserve">a implementación de medidas </w:t>
      </w:r>
      <w:proofErr w:type="spellStart"/>
      <w:r w:rsidRPr="00320D16">
        <w:rPr>
          <w:rFonts w:ascii="Gotham" w:hAnsi="Gotham"/>
        </w:rPr>
        <w:t>contracíclica</w:t>
      </w:r>
      <w:r w:rsidR="00B37DAB" w:rsidRPr="00320D16">
        <w:rPr>
          <w:rFonts w:ascii="Gotham" w:hAnsi="Gotham"/>
        </w:rPr>
        <w:t>s</w:t>
      </w:r>
      <w:proofErr w:type="spellEnd"/>
      <w:r w:rsidR="00B37DAB" w:rsidRPr="00320D16">
        <w:rPr>
          <w:rFonts w:ascii="Gotham" w:hAnsi="Gotham"/>
        </w:rPr>
        <w:t xml:space="preserve"> pueden generar un</w:t>
      </w:r>
      <w:r w:rsidR="00C23367" w:rsidRPr="00320D16">
        <w:rPr>
          <w:rFonts w:ascii="Gotham" w:hAnsi="Gotham"/>
        </w:rPr>
        <w:t>a presión en la</w:t>
      </w:r>
      <w:r w:rsidR="00154B12" w:rsidRPr="00320D16">
        <w:rPr>
          <w:rFonts w:ascii="Gotham" w:hAnsi="Gotham"/>
        </w:rPr>
        <w:t>s</w:t>
      </w:r>
      <w:r w:rsidR="00C23367" w:rsidRPr="00320D16">
        <w:rPr>
          <w:rFonts w:ascii="Gotham" w:hAnsi="Gotham"/>
        </w:rPr>
        <w:t xml:space="preserve"> finanzas </w:t>
      </w:r>
      <w:r w:rsidR="00154B12" w:rsidRPr="00320D16">
        <w:rPr>
          <w:rFonts w:ascii="Gotham" w:hAnsi="Gotham"/>
        </w:rPr>
        <w:t>públicas</w:t>
      </w:r>
      <w:r w:rsidR="00C23367" w:rsidRPr="00320D16">
        <w:rPr>
          <w:rFonts w:ascii="Gotham" w:hAnsi="Gotham"/>
        </w:rPr>
        <w:t xml:space="preserve"> </w:t>
      </w:r>
      <w:r w:rsidR="00B37DAB" w:rsidRPr="00320D16">
        <w:rPr>
          <w:rFonts w:ascii="Gotham" w:hAnsi="Gotham"/>
        </w:rPr>
        <w:t xml:space="preserve">de los países afectados. </w:t>
      </w:r>
    </w:p>
    <w:p w:rsidR="00E84997" w:rsidRPr="00320D16" w:rsidRDefault="00716134" w:rsidP="00320D16">
      <w:pPr>
        <w:spacing w:line="360" w:lineRule="auto"/>
        <w:rPr>
          <w:rFonts w:ascii="Gotham" w:hAnsi="Gotham"/>
        </w:rPr>
      </w:pPr>
      <w:r w:rsidRPr="00320D16">
        <w:rPr>
          <w:rFonts w:ascii="Gotham" w:hAnsi="Gotham"/>
        </w:rPr>
        <w:t xml:space="preserve">En este contexto las estimaciones en las perspectivas de la economía mundial emitida en el mes de octubre de 2020 por el Fondo Monetario Internacional (FMI) señalan que el crecimiento global se encuentra en una ligera recuperación y que su ascenso será prolongado, desigual e incierto para las diferentes economías, por lo que para el cierre de 2020 se proyecta una contracción de </w:t>
      </w:r>
      <w:r w:rsidR="00154B12" w:rsidRPr="00320D16">
        <w:rPr>
          <w:rFonts w:ascii="Gotham" w:hAnsi="Gotham"/>
        </w:rPr>
        <w:t>-</w:t>
      </w:r>
      <w:r w:rsidRPr="00320D16">
        <w:rPr>
          <w:rFonts w:ascii="Gotham" w:hAnsi="Gotham"/>
        </w:rPr>
        <w:t>4.4 por ciento y para 2021 se espera sea de 5.2 por ciento.</w:t>
      </w:r>
    </w:p>
    <w:p w:rsidR="00716134" w:rsidRPr="00320D16" w:rsidRDefault="0041413F" w:rsidP="00320D16">
      <w:pPr>
        <w:spacing w:line="360" w:lineRule="auto"/>
        <w:rPr>
          <w:rFonts w:ascii="Gotham" w:hAnsi="Gotham"/>
        </w:rPr>
      </w:pPr>
      <w:r w:rsidRPr="00320D16">
        <w:rPr>
          <w:rFonts w:ascii="Gotham" w:hAnsi="Gotham"/>
        </w:rPr>
        <w:t xml:space="preserve">En </w:t>
      </w:r>
      <w:r w:rsidR="00716134" w:rsidRPr="00320D16">
        <w:rPr>
          <w:rFonts w:ascii="Gotham" w:hAnsi="Gotham"/>
        </w:rPr>
        <w:t xml:space="preserve">lo que respecta </w:t>
      </w:r>
      <w:r w:rsidRPr="00320D16">
        <w:rPr>
          <w:rFonts w:ascii="Gotham" w:hAnsi="Gotham"/>
        </w:rPr>
        <w:t>a la economía mexicana el escenario</w:t>
      </w:r>
      <w:r w:rsidR="00716134" w:rsidRPr="00320D16">
        <w:rPr>
          <w:rFonts w:ascii="Gotham" w:hAnsi="Gotham"/>
        </w:rPr>
        <w:t xml:space="preserve"> económico es </w:t>
      </w:r>
      <w:r w:rsidRPr="00320D16">
        <w:rPr>
          <w:rFonts w:ascii="Gotham" w:hAnsi="Gotham"/>
        </w:rPr>
        <w:t xml:space="preserve">prudente y acorde con las expectativas de los mercados internacionales, </w:t>
      </w:r>
      <w:r w:rsidR="00716134" w:rsidRPr="00320D16">
        <w:rPr>
          <w:rFonts w:ascii="Gotham" w:hAnsi="Gotham"/>
        </w:rPr>
        <w:t xml:space="preserve">siendo un objetivo principal </w:t>
      </w:r>
      <w:r w:rsidRPr="00320D16">
        <w:rPr>
          <w:rFonts w:ascii="Gotham" w:hAnsi="Gotham"/>
        </w:rPr>
        <w:t xml:space="preserve">mantener el equilibrio macroeconómico y </w:t>
      </w:r>
      <w:r w:rsidR="00716134" w:rsidRPr="00320D16">
        <w:rPr>
          <w:rFonts w:ascii="Gotham" w:hAnsi="Gotham"/>
        </w:rPr>
        <w:t xml:space="preserve">las </w:t>
      </w:r>
      <w:r w:rsidRPr="00320D16">
        <w:rPr>
          <w:rFonts w:ascii="Gotham" w:hAnsi="Gotham"/>
        </w:rPr>
        <w:t xml:space="preserve">finanzas públicas sanas. </w:t>
      </w:r>
      <w:r w:rsidR="00716134" w:rsidRPr="00320D16">
        <w:rPr>
          <w:rFonts w:ascii="Gotham" w:hAnsi="Gotham"/>
        </w:rPr>
        <w:t>Para ello se han tomado medidas económicas para afrontar la crisis sanitaria</w:t>
      </w:r>
      <w:r w:rsidR="00C11D11" w:rsidRPr="00320D16">
        <w:rPr>
          <w:rFonts w:ascii="Gotham" w:hAnsi="Gotham"/>
        </w:rPr>
        <w:t xml:space="preserve"> y otros riesgos que enfrenta la economía por los efectos externos; ante ello, y de acuerdo con los Criterios Generales de Política Económica se proyecta para la economía mexicana un crecimiento para 2020 y 2021 de -8.0 y de 4.6 por ciento, respectivamente. </w:t>
      </w:r>
    </w:p>
    <w:p w:rsidR="00C11D11" w:rsidRPr="00320D16" w:rsidRDefault="00C11D11" w:rsidP="00320D16">
      <w:pPr>
        <w:spacing w:line="360" w:lineRule="auto"/>
        <w:rPr>
          <w:rFonts w:ascii="Gotham" w:hAnsi="Gotham"/>
        </w:rPr>
      </w:pPr>
      <w:r w:rsidRPr="00320D16">
        <w:rPr>
          <w:rFonts w:ascii="Gotham" w:hAnsi="Gotham"/>
        </w:rPr>
        <w:t xml:space="preserve">Asimismo y debido a que </w:t>
      </w:r>
      <w:r w:rsidR="0041413F" w:rsidRPr="00320D16">
        <w:rPr>
          <w:rFonts w:ascii="Gotham" w:hAnsi="Gotham"/>
        </w:rPr>
        <w:t xml:space="preserve">la economía </w:t>
      </w:r>
      <w:r w:rsidRPr="00320D16">
        <w:rPr>
          <w:rFonts w:ascii="Gotham" w:hAnsi="Gotham"/>
        </w:rPr>
        <w:t>de Chiapas</w:t>
      </w:r>
      <w:r w:rsidR="0041413F" w:rsidRPr="00320D16">
        <w:rPr>
          <w:rFonts w:ascii="Gotham" w:hAnsi="Gotham"/>
        </w:rPr>
        <w:t xml:space="preserve"> se encuentra íntimamente vinculada a las políticas implementadas a nivel nacional,  </w:t>
      </w:r>
      <w:r w:rsidRPr="00320D16">
        <w:rPr>
          <w:rFonts w:ascii="Gotham" w:hAnsi="Gotham"/>
        </w:rPr>
        <w:t>se espera que los efectos negativos y el crecimiento se mantengan en línea al comportamiento federal, para lo cual la política económica deberá considera</w:t>
      </w:r>
      <w:r w:rsidR="00647410" w:rsidRPr="00320D16">
        <w:rPr>
          <w:rFonts w:ascii="Gotham" w:hAnsi="Gotham"/>
        </w:rPr>
        <w:t>r</w:t>
      </w:r>
      <w:r w:rsidRPr="00320D16">
        <w:rPr>
          <w:rFonts w:ascii="Gotham" w:hAnsi="Gotham"/>
        </w:rPr>
        <w:t xml:space="preserve"> este comportamiento, previendo para 2021 una posible recuperación</w:t>
      </w:r>
      <w:r w:rsidR="00647410" w:rsidRPr="00320D16">
        <w:rPr>
          <w:rFonts w:ascii="Gotham" w:hAnsi="Gotham"/>
        </w:rPr>
        <w:t xml:space="preserve"> y emprender el diseño de medidas ante este escenario incierto.</w:t>
      </w:r>
    </w:p>
    <w:p w:rsidR="00C87F73" w:rsidRPr="00320D16" w:rsidRDefault="00C87F73" w:rsidP="00320D16">
      <w:pPr>
        <w:spacing w:line="360" w:lineRule="auto"/>
        <w:rPr>
          <w:rFonts w:ascii="Gotham" w:hAnsi="Gotham"/>
          <w:b/>
          <w:color w:val="000000"/>
          <w:highlight w:val="green"/>
          <w:lang w:eastAsia="es-MX"/>
        </w:rPr>
      </w:pPr>
    </w:p>
    <w:p w:rsidR="00702D97" w:rsidRPr="00320D16" w:rsidRDefault="00702D97" w:rsidP="00320D16">
      <w:pPr>
        <w:spacing w:line="360" w:lineRule="auto"/>
        <w:rPr>
          <w:rFonts w:ascii="Gotham" w:hAnsi="Gotham"/>
          <w:b/>
          <w:color w:val="000000"/>
          <w:highlight w:val="green"/>
          <w:lang w:eastAsia="es-MX"/>
        </w:rPr>
      </w:pPr>
    </w:p>
    <w:p w:rsidR="00702D97" w:rsidRPr="00320D16" w:rsidRDefault="00702D97" w:rsidP="00320D16">
      <w:pPr>
        <w:spacing w:line="360" w:lineRule="auto"/>
        <w:rPr>
          <w:rFonts w:ascii="Gotham" w:hAnsi="Gotham"/>
          <w:b/>
          <w:color w:val="000000"/>
          <w:highlight w:val="green"/>
          <w:lang w:eastAsia="es-MX"/>
        </w:rPr>
      </w:pPr>
    </w:p>
    <w:p w:rsidR="00702D97" w:rsidRPr="00320D16" w:rsidRDefault="00702D97" w:rsidP="00320D16">
      <w:pPr>
        <w:spacing w:line="360" w:lineRule="auto"/>
        <w:rPr>
          <w:rFonts w:ascii="Gotham" w:hAnsi="Gotham"/>
          <w:b/>
          <w:color w:val="000000"/>
          <w:highlight w:val="green"/>
          <w:lang w:eastAsia="es-MX"/>
        </w:rPr>
      </w:pPr>
    </w:p>
    <w:p w:rsidR="00702D97" w:rsidRPr="00320D16" w:rsidRDefault="00702D97" w:rsidP="00320D16">
      <w:pPr>
        <w:spacing w:line="360" w:lineRule="auto"/>
        <w:rPr>
          <w:rFonts w:ascii="Gotham" w:hAnsi="Gotham"/>
          <w:b/>
          <w:color w:val="000000"/>
          <w:highlight w:val="green"/>
          <w:lang w:eastAsia="es-MX"/>
        </w:rPr>
      </w:pPr>
    </w:p>
    <w:p w:rsidR="00702D97" w:rsidRPr="00320D16" w:rsidRDefault="00702D97" w:rsidP="00320D16">
      <w:pPr>
        <w:spacing w:line="360" w:lineRule="auto"/>
        <w:rPr>
          <w:rFonts w:ascii="Gotham" w:hAnsi="Gotham"/>
          <w:b/>
          <w:color w:val="000000"/>
          <w:highlight w:val="green"/>
          <w:lang w:eastAsia="es-MX"/>
        </w:rPr>
      </w:pPr>
    </w:p>
    <w:p w:rsidR="0041413F" w:rsidRPr="00320D16" w:rsidRDefault="0041413F" w:rsidP="00320D16">
      <w:pPr>
        <w:spacing w:line="360" w:lineRule="auto"/>
        <w:rPr>
          <w:rFonts w:ascii="Gotham" w:hAnsi="Gotham"/>
          <w:b/>
          <w:color w:val="000000"/>
          <w:lang w:eastAsia="es-MX"/>
        </w:rPr>
      </w:pPr>
      <w:r w:rsidRPr="00320D16">
        <w:rPr>
          <w:rFonts w:ascii="Gotham" w:hAnsi="Gotham"/>
          <w:b/>
          <w:color w:val="000000"/>
          <w:lang w:eastAsia="es-MX"/>
        </w:rPr>
        <w:lastRenderedPageBreak/>
        <w:t>I.1. Panorama Mundial</w:t>
      </w:r>
    </w:p>
    <w:p w:rsidR="0084604C" w:rsidRPr="00320D16" w:rsidRDefault="00674081" w:rsidP="00320D16">
      <w:pPr>
        <w:spacing w:line="360" w:lineRule="auto"/>
        <w:rPr>
          <w:rFonts w:ascii="Gotham" w:hAnsi="Gotham"/>
        </w:rPr>
      </w:pPr>
      <w:r w:rsidRPr="00320D16">
        <w:rPr>
          <w:rFonts w:ascii="Gotham" w:hAnsi="Gotham"/>
        </w:rPr>
        <w:t xml:space="preserve">En las proyecciones realizadas en el mes de octubre de 2020 por el Fondo Monetario Internacional se señala que la economía mundial </w:t>
      </w:r>
      <w:proofErr w:type="spellStart"/>
      <w:r w:rsidRPr="00320D16">
        <w:rPr>
          <w:rFonts w:ascii="Gotham" w:hAnsi="Gotham"/>
        </w:rPr>
        <w:t>esta</w:t>
      </w:r>
      <w:proofErr w:type="spellEnd"/>
      <w:r w:rsidRPr="00320D16">
        <w:rPr>
          <w:rFonts w:ascii="Gotham" w:hAnsi="Gotham"/>
        </w:rPr>
        <w:t xml:space="preserve"> empezando a experimentar una recuperación a raíz del confinamiento que se vivió en abril del mismo año, sin embargo </w:t>
      </w:r>
      <w:r w:rsidR="00702D97" w:rsidRPr="00320D16">
        <w:rPr>
          <w:rFonts w:ascii="Gotham" w:hAnsi="Gotham"/>
        </w:rPr>
        <w:t>se prevé que la pandemia del COVID-19 continúe propagándose</w:t>
      </w:r>
      <w:r w:rsidR="0084604C" w:rsidRPr="00320D16">
        <w:rPr>
          <w:rFonts w:ascii="Gotham" w:hAnsi="Gotham"/>
        </w:rPr>
        <w:t xml:space="preserve">, por lo que </w:t>
      </w:r>
      <w:r w:rsidR="00CD4C72" w:rsidRPr="00320D16">
        <w:rPr>
          <w:rFonts w:ascii="Gotham" w:hAnsi="Gotham"/>
        </w:rPr>
        <w:t>mucho</w:t>
      </w:r>
      <w:r w:rsidR="0084604C" w:rsidRPr="00320D16">
        <w:rPr>
          <w:rFonts w:ascii="Gotham" w:hAnsi="Gotham"/>
        </w:rPr>
        <w:t>s</w:t>
      </w:r>
      <w:r w:rsidR="00CD4C72" w:rsidRPr="00320D16">
        <w:rPr>
          <w:rFonts w:ascii="Gotham" w:hAnsi="Gotham"/>
        </w:rPr>
        <w:t xml:space="preserve"> países </w:t>
      </w:r>
      <w:r w:rsidR="0084604C" w:rsidRPr="00320D16">
        <w:rPr>
          <w:rFonts w:ascii="Gotham" w:hAnsi="Gotham"/>
        </w:rPr>
        <w:t>han vuelto a diseñar medidas de contención para proteger a la población susceptible. Por ello la recuperación de diversos países sigue estando susceptible a obstáculos.</w:t>
      </w:r>
    </w:p>
    <w:p w:rsidR="0084604C" w:rsidRDefault="0041413F" w:rsidP="00320D16">
      <w:pPr>
        <w:spacing w:line="360" w:lineRule="auto"/>
        <w:rPr>
          <w:rFonts w:ascii="Gotham" w:hAnsi="Gotham"/>
        </w:rPr>
      </w:pPr>
      <w:r w:rsidRPr="00320D16">
        <w:rPr>
          <w:rFonts w:ascii="Gotham" w:hAnsi="Gotham"/>
        </w:rPr>
        <w:t xml:space="preserve">Ante </w:t>
      </w:r>
      <w:r w:rsidR="0084604C" w:rsidRPr="00320D16">
        <w:rPr>
          <w:rFonts w:ascii="Gotham" w:hAnsi="Gotham"/>
        </w:rPr>
        <w:t>este</w:t>
      </w:r>
      <w:r w:rsidRPr="00320D16">
        <w:rPr>
          <w:rFonts w:ascii="Gotham" w:hAnsi="Gotham"/>
        </w:rPr>
        <w:t xml:space="preserve"> panorama </w:t>
      </w:r>
      <w:r w:rsidR="0084604C" w:rsidRPr="00320D16">
        <w:rPr>
          <w:rFonts w:ascii="Gotham" w:hAnsi="Gotham"/>
        </w:rPr>
        <w:t>las proyecciones a</w:t>
      </w:r>
      <w:r w:rsidRPr="00320D16">
        <w:rPr>
          <w:rFonts w:ascii="Gotham" w:hAnsi="Gotham"/>
        </w:rPr>
        <w:t xml:space="preserve"> nivel mundial </w:t>
      </w:r>
      <w:r w:rsidR="0084604C" w:rsidRPr="00320D16">
        <w:rPr>
          <w:rFonts w:ascii="Gotham" w:hAnsi="Gotham"/>
        </w:rPr>
        <w:t xml:space="preserve">observan </w:t>
      </w:r>
      <w:r w:rsidRPr="00320D16">
        <w:rPr>
          <w:rFonts w:ascii="Gotham" w:hAnsi="Gotham"/>
        </w:rPr>
        <w:t>una contracción de (–4.4) por ciento en 2020</w:t>
      </w:r>
      <w:r w:rsidR="0084604C" w:rsidRPr="00320D16">
        <w:rPr>
          <w:rFonts w:ascii="Gotham" w:hAnsi="Gotham"/>
        </w:rPr>
        <w:t>,</w:t>
      </w:r>
      <w:r w:rsidRPr="00320D16">
        <w:rPr>
          <w:rFonts w:ascii="Gotham" w:hAnsi="Gotham"/>
        </w:rPr>
        <w:t xml:space="preserve"> es decir, 0.8 puntos porcentuales más de lo pronosticado de la edición de junio. </w:t>
      </w:r>
      <w:r w:rsidR="0084604C" w:rsidRPr="00320D16">
        <w:rPr>
          <w:rFonts w:ascii="Gotham" w:hAnsi="Gotham"/>
        </w:rPr>
        <w:t>Y e</w:t>
      </w:r>
      <w:r w:rsidRPr="00320D16">
        <w:rPr>
          <w:rFonts w:ascii="Gotham" w:hAnsi="Gotham"/>
        </w:rPr>
        <w:t>n 2021</w:t>
      </w:r>
      <w:r w:rsidR="0084604C" w:rsidRPr="00320D16">
        <w:rPr>
          <w:rFonts w:ascii="Gotham" w:hAnsi="Gotham"/>
        </w:rPr>
        <w:t xml:space="preserve"> se estima que el </w:t>
      </w:r>
      <w:r w:rsidRPr="00320D16">
        <w:rPr>
          <w:rFonts w:ascii="Gotham" w:hAnsi="Gotham"/>
        </w:rPr>
        <w:t xml:space="preserve">crecimiento mundial </w:t>
      </w:r>
      <w:r w:rsidR="0084604C" w:rsidRPr="00320D16">
        <w:rPr>
          <w:rFonts w:ascii="Gotham" w:hAnsi="Gotham"/>
        </w:rPr>
        <w:t>sea de</w:t>
      </w:r>
      <w:r w:rsidRPr="00320D16">
        <w:rPr>
          <w:rFonts w:ascii="Gotham" w:hAnsi="Gotham"/>
        </w:rPr>
        <w:t xml:space="preserve"> 5.2 por ciento</w:t>
      </w:r>
      <w:r w:rsidR="0084604C" w:rsidRPr="00320D16">
        <w:rPr>
          <w:rFonts w:ascii="Gotham" w:hAnsi="Gotham"/>
        </w:rPr>
        <w:t>.</w:t>
      </w:r>
    </w:p>
    <w:p w:rsidR="00320D16" w:rsidRPr="00320D16" w:rsidRDefault="00320D16" w:rsidP="00320D16">
      <w:pPr>
        <w:spacing w:line="360" w:lineRule="auto"/>
        <w:rPr>
          <w:rFonts w:ascii="Gotham" w:hAnsi="Gotham"/>
        </w:rPr>
      </w:pPr>
    </w:p>
    <w:p w:rsidR="0041413F" w:rsidRPr="00320D16" w:rsidRDefault="0041413F" w:rsidP="00320D16">
      <w:pPr>
        <w:spacing w:line="360" w:lineRule="auto"/>
        <w:rPr>
          <w:rFonts w:ascii="Gotham" w:hAnsi="Gotham"/>
          <w:b/>
          <w:color w:val="000000"/>
          <w:lang w:eastAsia="es-MX"/>
        </w:rPr>
      </w:pPr>
      <w:r w:rsidRPr="00320D16">
        <w:rPr>
          <w:rFonts w:ascii="Gotham" w:hAnsi="Gotham"/>
          <w:b/>
          <w:color w:val="000000"/>
          <w:lang w:eastAsia="es-MX"/>
        </w:rPr>
        <w:t>I.1.1 Economías avanzadas</w:t>
      </w:r>
    </w:p>
    <w:p w:rsidR="0041413F" w:rsidRDefault="0084604C" w:rsidP="00320D16">
      <w:pPr>
        <w:spacing w:line="360" w:lineRule="auto"/>
        <w:rPr>
          <w:rFonts w:ascii="Gotham" w:hAnsi="Gotham"/>
        </w:rPr>
      </w:pPr>
      <w:r w:rsidRPr="00320D16">
        <w:rPr>
          <w:rFonts w:ascii="Gotham" w:hAnsi="Gotham"/>
        </w:rPr>
        <w:t xml:space="preserve">Las </w:t>
      </w:r>
      <w:r w:rsidR="0041413F" w:rsidRPr="00320D16">
        <w:rPr>
          <w:rFonts w:ascii="Gotham" w:hAnsi="Gotham"/>
        </w:rPr>
        <w:t>proyecciones</w:t>
      </w:r>
      <w:r w:rsidRPr="00320D16">
        <w:rPr>
          <w:rFonts w:ascii="Gotham" w:hAnsi="Gotham"/>
        </w:rPr>
        <w:t xml:space="preserve"> para las</w:t>
      </w:r>
      <w:r w:rsidR="0041413F" w:rsidRPr="00320D16">
        <w:rPr>
          <w:rFonts w:ascii="Gotham" w:hAnsi="Gotham"/>
        </w:rPr>
        <w:t xml:space="preserve"> economías avanzadas </w:t>
      </w:r>
      <w:r w:rsidRPr="00320D16">
        <w:rPr>
          <w:rFonts w:ascii="Gotham" w:hAnsi="Gotham"/>
        </w:rPr>
        <w:t>en 2020 se prevé</w:t>
      </w:r>
      <w:r w:rsidR="009C471F" w:rsidRPr="00320D16">
        <w:rPr>
          <w:rFonts w:ascii="Gotham" w:hAnsi="Gotham"/>
        </w:rPr>
        <w:t>n</w:t>
      </w:r>
      <w:r w:rsidRPr="00320D16">
        <w:rPr>
          <w:rFonts w:ascii="Gotham" w:hAnsi="Gotham"/>
        </w:rPr>
        <w:t xml:space="preserve"> se </w:t>
      </w:r>
      <w:r w:rsidR="0041413F" w:rsidRPr="00320D16">
        <w:rPr>
          <w:rFonts w:ascii="Gotham" w:hAnsi="Gotham"/>
        </w:rPr>
        <w:t>contra</w:t>
      </w:r>
      <w:r w:rsidRPr="00320D16">
        <w:rPr>
          <w:rFonts w:ascii="Gotham" w:hAnsi="Gotham"/>
        </w:rPr>
        <w:t>iga</w:t>
      </w:r>
      <w:r w:rsidR="0041413F" w:rsidRPr="00320D16">
        <w:rPr>
          <w:rFonts w:ascii="Gotham" w:hAnsi="Gotham"/>
        </w:rPr>
        <w:t xml:space="preserve"> en (–5.8) por ciento</w:t>
      </w:r>
      <w:r w:rsidRPr="00320D16">
        <w:rPr>
          <w:rFonts w:ascii="Gotham" w:hAnsi="Gotham"/>
        </w:rPr>
        <w:t>,</w:t>
      </w:r>
      <w:r w:rsidR="0041413F" w:rsidRPr="00320D16">
        <w:rPr>
          <w:rFonts w:ascii="Gotham" w:hAnsi="Gotham"/>
        </w:rPr>
        <w:t xml:space="preserve"> </w:t>
      </w:r>
      <w:r w:rsidR="009C471F" w:rsidRPr="00320D16">
        <w:rPr>
          <w:rFonts w:ascii="Gotham" w:hAnsi="Gotham"/>
        </w:rPr>
        <w:t>es decir</w:t>
      </w:r>
      <w:r w:rsidR="0041413F" w:rsidRPr="00320D16">
        <w:rPr>
          <w:rFonts w:ascii="Gotham" w:hAnsi="Gotham"/>
        </w:rPr>
        <w:t>, 2.3 puntos porcentuales más que lo proyectado en junio. L</w:t>
      </w:r>
      <w:r w:rsidR="009C471F" w:rsidRPr="00320D16">
        <w:rPr>
          <w:rFonts w:ascii="Gotham" w:hAnsi="Gotham"/>
        </w:rPr>
        <w:t>os efectos de esta desaceleración se acentu</w:t>
      </w:r>
      <w:r w:rsidR="00B12E33" w:rsidRPr="00320D16">
        <w:rPr>
          <w:rFonts w:ascii="Gotham" w:hAnsi="Gotham"/>
        </w:rPr>
        <w:t xml:space="preserve">aron mayormente </w:t>
      </w:r>
      <w:r w:rsidR="0041413F" w:rsidRPr="00320D16">
        <w:rPr>
          <w:rFonts w:ascii="Gotham" w:hAnsi="Gotham"/>
        </w:rPr>
        <w:t xml:space="preserve">durante el primer semestre del año </w:t>
      </w:r>
      <w:r w:rsidR="00B12E33" w:rsidRPr="00320D16">
        <w:rPr>
          <w:rFonts w:ascii="Gotham" w:hAnsi="Gotham"/>
        </w:rPr>
        <w:t xml:space="preserve">acorde con </w:t>
      </w:r>
      <w:r w:rsidR="0041413F" w:rsidRPr="00320D16">
        <w:rPr>
          <w:rFonts w:ascii="Gotham" w:hAnsi="Gotham"/>
        </w:rPr>
        <w:t xml:space="preserve">lo previsto. </w:t>
      </w:r>
      <w:r w:rsidR="00B12E33" w:rsidRPr="00320D16">
        <w:rPr>
          <w:rFonts w:ascii="Gotham" w:hAnsi="Gotham"/>
        </w:rPr>
        <w:t>En general se estima que l</w:t>
      </w:r>
      <w:r w:rsidR="0041413F" w:rsidRPr="00320D16">
        <w:rPr>
          <w:rFonts w:ascii="Gotham" w:hAnsi="Gotham"/>
        </w:rPr>
        <w:t>as economías avan</w:t>
      </w:r>
      <w:r w:rsidR="0041413F" w:rsidRPr="00320D16">
        <w:rPr>
          <w:rFonts w:ascii="Gotham" w:hAnsi="Gotham"/>
        </w:rPr>
        <w:softHyphen/>
        <w:t>zadas</w:t>
      </w:r>
      <w:r w:rsidR="00B12E33" w:rsidRPr="00320D16">
        <w:rPr>
          <w:rFonts w:ascii="Gotham" w:hAnsi="Gotham"/>
        </w:rPr>
        <w:t xml:space="preserve"> mejoren antes de lo esperado derivado de medidas estrictas para el confinamiento de la población, principalmente se estima que la</w:t>
      </w:r>
      <w:r w:rsidR="0041413F" w:rsidRPr="00320D16">
        <w:rPr>
          <w:rFonts w:ascii="Gotham" w:hAnsi="Gotham"/>
        </w:rPr>
        <w:t xml:space="preserve"> recuperación más fuerte </w:t>
      </w:r>
      <w:r w:rsidR="00B12E33" w:rsidRPr="00320D16">
        <w:rPr>
          <w:rFonts w:ascii="Gotham" w:hAnsi="Gotham"/>
        </w:rPr>
        <w:t xml:space="preserve">sea </w:t>
      </w:r>
      <w:r w:rsidR="0041413F" w:rsidRPr="00320D16">
        <w:rPr>
          <w:rFonts w:ascii="Gotham" w:hAnsi="Gotham"/>
        </w:rPr>
        <w:t xml:space="preserve">en el tercer trimestre del año. </w:t>
      </w:r>
      <w:r w:rsidR="001464A7" w:rsidRPr="00320D16">
        <w:rPr>
          <w:rFonts w:ascii="Gotham" w:hAnsi="Gotham"/>
        </w:rPr>
        <w:t>Por ello s</w:t>
      </w:r>
      <w:r w:rsidR="0041413F" w:rsidRPr="00320D16">
        <w:rPr>
          <w:rFonts w:ascii="Gotham" w:hAnsi="Gotham"/>
        </w:rPr>
        <w:t>e prevé que en 2021 la tasa de crecimiento de las economías avanzadas mejor</w:t>
      </w:r>
      <w:r w:rsidR="001464A7" w:rsidRPr="00320D16">
        <w:rPr>
          <w:rFonts w:ascii="Gotham" w:hAnsi="Gotham"/>
        </w:rPr>
        <w:t>e</w:t>
      </w:r>
      <w:r w:rsidR="0041413F" w:rsidRPr="00320D16">
        <w:rPr>
          <w:rFonts w:ascii="Gotham" w:hAnsi="Gotham"/>
        </w:rPr>
        <w:t xml:space="preserve"> a 3.9 por ciento.</w:t>
      </w:r>
    </w:p>
    <w:p w:rsidR="00320D16" w:rsidRPr="00320D16" w:rsidRDefault="00320D16" w:rsidP="00320D16">
      <w:pPr>
        <w:spacing w:line="360" w:lineRule="auto"/>
        <w:rPr>
          <w:rFonts w:ascii="Gotham" w:hAnsi="Gotham"/>
        </w:rPr>
      </w:pPr>
    </w:p>
    <w:p w:rsidR="0041413F" w:rsidRPr="00320D16" w:rsidRDefault="00EE7594" w:rsidP="00320D16">
      <w:pPr>
        <w:spacing w:line="360" w:lineRule="auto"/>
        <w:rPr>
          <w:rFonts w:ascii="Gotham" w:hAnsi="Gotham"/>
          <w:b/>
          <w:color w:val="000000"/>
          <w:lang w:eastAsia="es-MX"/>
        </w:rPr>
      </w:pPr>
      <w:r w:rsidRPr="00320D16">
        <w:rPr>
          <w:rFonts w:ascii="Gotham" w:hAnsi="Gotham"/>
          <w:b/>
          <w:color w:val="000000"/>
          <w:lang w:eastAsia="es-MX"/>
        </w:rPr>
        <w:t>I.1.2 Economías</w:t>
      </w:r>
      <w:r w:rsidR="0041413F" w:rsidRPr="00320D16">
        <w:rPr>
          <w:rFonts w:ascii="Gotham" w:hAnsi="Gotham"/>
          <w:b/>
          <w:color w:val="000000"/>
          <w:lang w:eastAsia="es-MX"/>
        </w:rPr>
        <w:t xml:space="preserve"> emergentes</w:t>
      </w:r>
    </w:p>
    <w:p w:rsidR="00AC0432" w:rsidRPr="00320D16" w:rsidRDefault="00AC0432" w:rsidP="00320D16">
      <w:pPr>
        <w:spacing w:line="360" w:lineRule="auto"/>
        <w:rPr>
          <w:rFonts w:ascii="Gotham" w:hAnsi="Gotham"/>
        </w:rPr>
      </w:pPr>
      <w:r w:rsidRPr="00320D16">
        <w:rPr>
          <w:rFonts w:ascii="Gotham" w:hAnsi="Gotham"/>
        </w:rPr>
        <w:t>En lo que respecta a las economías emergentes y en desarrollo, el impacto de los confinamientos es a la baja</w:t>
      </w:r>
      <w:r w:rsidR="00C625F2" w:rsidRPr="00320D16">
        <w:rPr>
          <w:rFonts w:ascii="Gotham" w:hAnsi="Gotham"/>
        </w:rPr>
        <w:t xml:space="preserve"> en el primer trimestre producido por una baja en la demanda externa</w:t>
      </w:r>
      <w:r w:rsidRPr="00320D16">
        <w:rPr>
          <w:rFonts w:ascii="Gotham" w:hAnsi="Gotham"/>
        </w:rPr>
        <w:t xml:space="preserve">, sin embargo </w:t>
      </w:r>
      <w:r w:rsidR="00C625F2" w:rsidRPr="00320D16">
        <w:rPr>
          <w:rFonts w:ascii="Gotham" w:hAnsi="Gotham"/>
        </w:rPr>
        <w:t xml:space="preserve">se espera que en los meses posteriores crezca derivado del comportamiento positivo de los mercados financieros. </w:t>
      </w:r>
      <w:r w:rsidRPr="00320D16">
        <w:rPr>
          <w:rFonts w:ascii="Gotham" w:hAnsi="Gotham"/>
        </w:rPr>
        <w:t xml:space="preserve"> </w:t>
      </w:r>
    </w:p>
    <w:p w:rsidR="00C625F2" w:rsidRPr="00320D16" w:rsidRDefault="00C625F2" w:rsidP="00320D16">
      <w:pPr>
        <w:spacing w:line="360" w:lineRule="auto"/>
        <w:rPr>
          <w:rFonts w:ascii="Gotham" w:hAnsi="Gotham"/>
        </w:rPr>
      </w:pPr>
      <w:r w:rsidRPr="00320D16">
        <w:rPr>
          <w:rFonts w:ascii="Gotham" w:hAnsi="Gotham"/>
        </w:rPr>
        <w:t xml:space="preserve">La proyección de crecimiento para las economías </w:t>
      </w:r>
      <w:r w:rsidR="0041413F" w:rsidRPr="00320D16">
        <w:rPr>
          <w:rFonts w:ascii="Gotham" w:hAnsi="Gotham"/>
        </w:rPr>
        <w:t xml:space="preserve">emergentes y en desarrollo </w:t>
      </w:r>
      <w:r w:rsidRPr="00320D16">
        <w:rPr>
          <w:rFonts w:ascii="Gotham" w:hAnsi="Gotham"/>
        </w:rPr>
        <w:t xml:space="preserve">son de </w:t>
      </w:r>
      <w:r w:rsidR="0041413F" w:rsidRPr="00320D16">
        <w:rPr>
          <w:rFonts w:ascii="Gotham" w:hAnsi="Gotham"/>
        </w:rPr>
        <w:t>(-3.3) por ciento 2020; es decir, (-0.2) puntos porcentuales por debajo de la proyección presentada en el informe WEO de junio de ese mismo año</w:t>
      </w:r>
      <w:r w:rsidRPr="00320D16">
        <w:rPr>
          <w:rFonts w:ascii="Gotham" w:hAnsi="Gotham"/>
        </w:rPr>
        <w:t xml:space="preserve"> y p</w:t>
      </w:r>
      <w:r w:rsidR="0041413F" w:rsidRPr="00320D16">
        <w:rPr>
          <w:rFonts w:ascii="Gotham" w:hAnsi="Gotham"/>
        </w:rPr>
        <w:t>ara 2021 se espera un crecimiento de 6.0 por ciento,</w:t>
      </w:r>
      <w:r w:rsidRPr="00320D16">
        <w:rPr>
          <w:rFonts w:ascii="Gotham" w:hAnsi="Gotham"/>
        </w:rPr>
        <w:t xml:space="preserve"> aun con esta estimación, </w:t>
      </w:r>
      <w:r w:rsidRPr="00320D16">
        <w:rPr>
          <w:rFonts w:ascii="Gotham" w:hAnsi="Gotham"/>
        </w:rPr>
        <w:lastRenderedPageBreak/>
        <w:t xml:space="preserve">con </w:t>
      </w:r>
      <w:r w:rsidR="0041413F" w:rsidRPr="00320D16">
        <w:rPr>
          <w:rFonts w:ascii="Gotham" w:hAnsi="Gotham"/>
        </w:rPr>
        <w:t xml:space="preserve">excepción de China, sufrirán una pérdida del producto más fuerte en 2020–2021 en relación con la trayectoria proyectada antes de la pandemia. </w:t>
      </w:r>
    </w:p>
    <w:p w:rsidR="0041413F" w:rsidRDefault="0041413F" w:rsidP="00320D16">
      <w:pPr>
        <w:spacing w:line="360" w:lineRule="auto"/>
        <w:rPr>
          <w:rFonts w:ascii="Gotham" w:hAnsi="Gotham"/>
        </w:rPr>
      </w:pPr>
      <w:r w:rsidRPr="00320D16">
        <w:rPr>
          <w:rFonts w:ascii="Gotham" w:hAnsi="Gotham"/>
        </w:rPr>
        <w:t>De acuerdo al Fondo Monetario Internacional (FMI); más allá de la asistencia con conocimientos y equipamiento médico, varias economías de mercados emergentes y en desarrollo en particular, países de bajo ingreso necesitan respaldo de la comunidad internacional a través de alivio de la deuda, donaciones y financiamiento en condiciones concesionarias.</w:t>
      </w:r>
    </w:p>
    <w:p w:rsidR="00320D16" w:rsidRPr="00320D16" w:rsidRDefault="00320D16" w:rsidP="00320D16">
      <w:pPr>
        <w:spacing w:line="360" w:lineRule="auto"/>
        <w:rPr>
          <w:rFonts w:ascii="Gotham" w:hAnsi="Gotham"/>
        </w:rPr>
      </w:pPr>
    </w:p>
    <w:p w:rsidR="0041413F" w:rsidRPr="00320D16" w:rsidRDefault="0041413F" w:rsidP="00320D16">
      <w:pPr>
        <w:spacing w:line="360" w:lineRule="auto"/>
        <w:rPr>
          <w:rFonts w:ascii="Gotham" w:hAnsi="Gotham"/>
          <w:b/>
          <w:color w:val="000000"/>
          <w:lang w:eastAsia="es-MX"/>
        </w:rPr>
      </w:pPr>
      <w:r w:rsidRPr="00320D16">
        <w:rPr>
          <w:rFonts w:ascii="Gotham" w:hAnsi="Gotham"/>
          <w:b/>
          <w:color w:val="000000"/>
          <w:lang w:eastAsia="es-MX"/>
        </w:rPr>
        <w:t>I.1.3 Perspectivas de la economía Mundial 2021</w:t>
      </w:r>
    </w:p>
    <w:p w:rsidR="0041413F" w:rsidRPr="00320D16" w:rsidRDefault="0041413F" w:rsidP="00320D16">
      <w:pPr>
        <w:spacing w:line="360" w:lineRule="auto"/>
        <w:rPr>
          <w:rFonts w:ascii="Gotham" w:hAnsi="Gotham"/>
        </w:rPr>
      </w:pPr>
      <w:r w:rsidRPr="00320D16">
        <w:rPr>
          <w:rFonts w:ascii="Gotham" w:hAnsi="Gotham"/>
        </w:rPr>
        <w:t xml:space="preserve">La incertidumbre fundamental acerca de la evolución de la pandemia es un importante factor determinante de las perspectivas económicas, y hace difícil la caracterización de la balanza de riesgos. La desaceleración podría ser menos severa de lo pronosticado si la normalización económica avanzara más rápido de lo que actualmente se prevé en zonas que se han reabierto; por ejemplo en China, donde la recuperación de la inversión y los servicios hasta mayo fue más vigorosa de lo esperado. </w:t>
      </w:r>
    </w:p>
    <w:p w:rsidR="0041413F" w:rsidRPr="00320D16" w:rsidRDefault="0041413F" w:rsidP="00320D16">
      <w:pPr>
        <w:spacing w:line="360" w:lineRule="auto"/>
        <w:rPr>
          <w:rFonts w:ascii="Gotham" w:hAnsi="Gotham"/>
        </w:rPr>
      </w:pPr>
      <w:r w:rsidRPr="00320D16">
        <w:rPr>
          <w:rFonts w:ascii="Gotham" w:hAnsi="Gotham"/>
        </w:rPr>
        <w:t>El Fondo Monetario Internacional, expuso que existe un elevado grado de incertidumbre en torno a estos pronósticos debido a que la proyección base se fundamenta en factores económicos y de salud pública, que son inherentemente difíciles de predecir; reveló la existencia de riesgos tanto al alza como a la baja. Entre los riesgos a la baja están: un rebrote del virus; el restablecimiento de confinamientos; un deterioro de las perspectivas de tratamientos y vacunas; volatilidad en los mercados financieros internacionales; restricciones al crecimiento del comercio y la inversión; y, el aumento de la incertidumbre geopolítica; aspectos que podrían dañar de manera grave la recuperación de la actividad económica. Por el contario, los factores que podrían incidir al alza están: la disponibilidad más extendida y rápida de pruebas, tratamientos y vacunas; y, estímulos adicionales de política económica.</w:t>
      </w:r>
    </w:p>
    <w:p w:rsidR="00EC62BD" w:rsidRPr="00320D16" w:rsidRDefault="00EC62BD" w:rsidP="00320D16">
      <w:pPr>
        <w:spacing w:line="360" w:lineRule="auto"/>
        <w:rPr>
          <w:rFonts w:ascii="Gotham" w:hAnsi="Gotham"/>
        </w:rPr>
      </w:pPr>
    </w:p>
    <w:p w:rsidR="00EC62BD" w:rsidRPr="00320D16" w:rsidRDefault="00EC62BD" w:rsidP="00320D16">
      <w:pPr>
        <w:spacing w:line="360" w:lineRule="auto"/>
        <w:rPr>
          <w:rFonts w:ascii="Gotham" w:hAnsi="Gotham"/>
        </w:rPr>
      </w:pPr>
    </w:p>
    <w:p w:rsidR="00EC62BD" w:rsidRPr="00320D16" w:rsidRDefault="00EC62BD" w:rsidP="00320D16">
      <w:pPr>
        <w:spacing w:line="360" w:lineRule="auto"/>
        <w:rPr>
          <w:rFonts w:ascii="Gotham" w:hAnsi="Gotham"/>
        </w:rPr>
      </w:pPr>
    </w:p>
    <w:p w:rsidR="00EC62BD" w:rsidRPr="00320D16" w:rsidRDefault="00EC62BD" w:rsidP="00320D16">
      <w:pPr>
        <w:spacing w:line="360" w:lineRule="auto"/>
        <w:rPr>
          <w:rFonts w:ascii="Gotham" w:hAnsi="Gotham"/>
        </w:rPr>
      </w:pPr>
    </w:p>
    <w:p w:rsidR="00EC62BD" w:rsidRPr="00320D16" w:rsidRDefault="00EC62BD" w:rsidP="00320D16">
      <w:pPr>
        <w:spacing w:line="360" w:lineRule="auto"/>
        <w:rPr>
          <w:rFonts w:ascii="Gotham" w:hAnsi="Gotham"/>
        </w:rPr>
      </w:pPr>
    </w:p>
    <w:p w:rsidR="0041413F" w:rsidRPr="00320D16" w:rsidRDefault="0041413F" w:rsidP="00320D16">
      <w:pPr>
        <w:autoSpaceDE w:val="0"/>
        <w:autoSpaceDN w:val="0"/>
        <w:adjustRightInd w:val="0"/>
        <w:spacing w:after="0" w:line="360" w:lineRule="auto"/>
        <w:jc w:val="center"/>
        <w:rPr>
          <w:rFonts w:ascii="Gotham" w:hAnsi="Gotham" w:cs="Century Gothic"/>
          <w:color w:val="000000"/>
        </w:rPr>
      </w:pPr>
      <w:r w:rsidRPr="00320D16">
        <w:rPr>
          <w:rFonts w:ascii="Gotham" w:hAnsi="Gotham" w:cs="Century Gothic"/>
          <w:b/>
          <w:bCs/>
          <w:color w:val="000000"/>
        </w:rPr>
        <w:lastRenderedPageBreak/>
        <w:t>Cuadro I.1.</w:t>
      </w:r>
    </w:p>
    <w:p w:rsidR="0041413F" w:rsidRPr="00320D16" w:rsidRDefault="0041413F" w:rsidP="00320D16">
      <w:pPr>
        <w:autoSpaceDE w:val="0"/>
        <w:autoSpaceDN w:val="0"/>
        <w:adjustRightInd w:val="0"/>
        <w:spacing w:after="0" w:line="360" w:lineRule="auto"/>
        <w:jc w:val="center"/>
        <w:rPr>
          <w:rFonts w:ascii="Gotham" w:hAnsi="Gotham" w:cs="Century Gothic"/>
          <w:b/>
          <w:bCs/>
          <w:color w:val="000000"/>
        </w:rPr>
      </w:pPr>
      <w:r w:rsidRPr="00320D16">
        <w:rPr>
          <w:rFonts w:ascii="Gotham" w:hAnsi="Gotham" w:cs="Century Gothic"/>
          <w:b/>
          <w:bCs/>
          <w:color w:val="000000"/>
        </w:rPr>
        <w:t>Perspectivas de la Economía Mundial</w:t>
      </w:r>
    </w:p>
    <w:p w:rsidR="0041413F" w:rsidRPr="00320D16" w:rsidRDefault="0041413F" w:rsidP="00320D16">
      <w:pPr>
        <w:autoSpaceDE w:val="0"/>
        <w:autoSpaceDN w:val="0"/>
        <w:adjustRightInd w:val="0"/>
        <w:spacing w:line="360" w:lineRule="auto"/>
        <w:jc w:val="center"/>
        <w:rPr>
          <w:rFonts w:ascii="Gotham" w:hAnsi="Gotham" w:cs="Century Gothic"/>
          <w:b/>
          <w:bCs/>
          <w:color w:val="000000"/>
        </w:rPr>
      </w:pPr>
      <w:r w:rsidRPr="00320D16">
        <w:rPr>
          <w:rFonts w:ascii="Gotham" w:hAnsi="Gotham" w:cs="Century Gothic"/>
          <w:color w:val="000000"/>
        </w:rPr>
        <w:t>(Porcentaje Real)</w:t>
      </w:r>
    </w:p>
    <w:p w:rsidR="0041413F" w:rsidRPr="00320D16" w:rsidRDefault="0041413F" w:rsidP="00320D16">
      <w:pPr>
        <w:spacing w:line="360" w:lineRule="auto"/>
        <w:jc w:val="center"/>
        <w:rPr>
          <w:rFonts w:ascii="Gotham" w:hAnsi="Gotham" w:cs="Century Gothic"/>
          <w:color w:val="000000"/>
        </w:rPr>
      </w:pPr>
      <w:r w:rsidRPr="00320D16">
        <w:rPr>
          <w:rFonts w:ascii="Gotham" w:hAnsi="Gotham"/>
          <w:noProof/>
          <w:lang w:eastAsia="es-MX"/>
        </w:rPr>
        <w:drawing>
          <wp:inline distT="0" distB="0" distL="0" distR="0" wp14:anchorId="3215E09A" wp14:editId="0C5634FD">
            <wp:extent cx="5125327" cy="564542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9591" cy="5683167"/>
                    </a:xfrm>
                    <a:prstGeom prst="rect">
                      <a:avLst/>
                    </a:prstGeom>
                    <a:noFill/>
                    <a:ln>
                      <a:noFill/>
                    </a:ln>
                  </pic:spPr>
                </pic:pic>
              </a:graphicData>
            </a:graphic>
          </wp:inline>
        </w:drawing>
      </w:r>
    </w:p>
    <w:p w:rsidR="0041413F" w:rsidRPr="00320D16" w:rsidRDefault="0041413F" w:rsidP="00320D16">
      <w:pPr>
        <w:spacing w:line="360" w:lineRule="auto"/>
        <w:jc w:val="center"/>
        <w:rPr>
          <w:rFonts w:ascii="Gotham" w:hAnsi="Gotham"/>
          <w:b/>
        </w:rPr>
      </w:pPr>
    </w:p>
    <w:p w:rsidR="007B7D96" w:rsidRPr="00320D16" w:rsidRDefault="007B7D96" w:rsidP="00320D16">
      <w:pPr>
        <w:spacing w:line="360" w:lineRule="auto"/>
        <w:jc w:val="center"/>
        <w:rPr>
          <w:rFonts w:ascii="Gotham" w:hAnsi="Gotham"/>
          <w:b/>
        </w:rPr>
      </w:pPr>
    </w:p>
    <w:p w:rsidR="007B7D96" w:rsidRPr="00320D16" w:rsidRDefault="007B7D96" w:rsidP="00320D16">
      <w:pPr>
        <w:spacing w:line="360" w:lineRule="auto"/>
        <w:jc w:val="center"/>
        <w:rPr>
          <w:rFonts w:ascii="Gotham" w:hAnsi="Gotham"/>
          <w:b/>
        </w:rPr>
      </w:pPr>
    </w:p>
    <w:p w:rsidR="007B7D96" w:rsidRPr="00320D16" w:rsidRDefault="007B7D96" w:rsidP="00320D16">
      <w:pPr>
        <w:spacing w:line="360" w:lineRule="auto"/>
        <w:jc w:val="center"/>
        <w:rPr>
          <w:rFonts w:ascii="Gotham" w:hAnsi="Gotham"/>
          <w:b/>
        </w:rPr>
      </w:pPr>
    </w:p>
    <w:p w:rsidR="007B7D96" w:rsidRDefault="007B7D96" w:rsidP="00320D16">
      <w:pPr>
        <w:spacing w:line="360" w:lineRule="auto"/>
        <w:jc w:val="center"/>
        <w:rPr>
          <w:rFonts w:ascii="Gotham" w:hAnsi="Gotham"/>
          <w:b/>
        </w:rPr>
      </w:pPr>
    </w:p>
    <w:p w:rsidR="00320D16" w:rsidRPr="00320D16" w:rsidRDefault="00320D16" w:rsidP="00320D16">
      <w:pPr>
        <w:spacing w:line="360" w:lineRule="auto"/>
        <w:jc w:val="center"/>
        <w:rPr>
          <w:rFonts w:ascii="Gotham" w:hAnsi="Gotham"/>
          <w:b/>
        </w:rPr>
      </w:pPr>
    </w:p>
    <w:p w:rsidR="0041413F" w:rsidRPr="00320D16" w:rsidRDefault="0041413F" w:rsidP="00320D16">
      <w:pPr>
        <w:spacing w:line="360" w:lineRule="auto"/>
        <w:rPr>
          <w:rFonts w:ascii="Gotham" w:hAnsi="Gotham"/>
          <w:b/>
          <w:color w:val="000000"/>
          <w:lang w:eastAsia="es-MX"/>
        </w:rPr>
      </w:pPr>
      <w:r w:rsidRPr="00320D16">
        <w:rPr>
          <w:rFonts w:ascii="Gotham" w:hAnsi="Gotham"/>
          <w:b/>
          <w:color w:val="000000"/>
          <w:lang w:eastAsia="es-MX"/>
        </w:rPr>
        <w:lastRenderedPageBreak/>
        <w:t>I.2. Panorama Económico Nacional</w:t>
      </w:r>
    </w:p>
    <w:p w:rsidR="0041413F" w:rsidRPr="00320D16" w:rsidRDefault="0041413F" w:rsidP="00320D16">
      <w:pPr>
        <w:spacing w:line="360" w:lineRule="auto"/>
        <w:rPr>
          <w:rFonts w:ascii="Gotham" w:hAnsi="Gotham"/>
        </w:rPr>
      </w:pPr>
      <w:r w:rsidRPr="00320D16">
        <w:rPr>
          <w:rFonts w:ascii="Gotham" w:hAnsi="Gotham"/>
        </w:rPr>
        <w:t xml:space="preserve">De acuerdo </w:t>
      </w:r>
      <w:r w:rsidR="007B7D96" w:rsidRPr="00320D16">
        <w:rPr>
          <w:rFonts w:ascii="Gotham" w:hAnsi="Gotham"/>
        </w:rPr>
        <w:t>con</w:t>
      </w:r>
      <w:r w:rsidRPr="00320D16">
        <w:rPr>
          <w:rFonts w:ascii="Gotham" w:hAnsi="Gotham"/>
        </w:rPr>
        <w:t xml:space="preserve"> los Criterios Generales de Política Económica 2021, el escenario </w:t>
      </w:r>
      <w:r w:rsidR="007B7D96" w:rsidRPr="00320D16">
        <w:rPr>
          <w:rFonts w:ascii="Gotham" w:hAnsi="Gotham"/>
        </w:rPr>
        <w:t xml:space="preserve">económico nacional </w:t>
      </w:r>
      <w:r w:rsidRPr="00320D16">
        <w:rPr>
          <w:rFonts w:ascii="Gotham" w:hAnsi="Gotham"/>
        </w:rPr>
        <w:t xml:space="preserve">difiere al de años anteriores ante la presencia de la situación sanitaria de la pandemia por COVID-19. Así, la incursión de la pandemia y la implementación de las medidas de confinamiento para su contención, implicaron restricciones a la movilidad y la paralización de actividades económicas que provocaron impactos profundos sobre la economía global y nacional; en los mercados financieros y de materias primas. </w:t>
      </w:r>
    </w:p>
    <w:p w:rsidR="0041413F" w:rsidRPr="00320D16" w:rsidRDefault="0041413F" w:rsidP="00320D16">
      <w:pPr>
        <w:spacing w:line="360" w:lineRule="auto"/>
        <w:rPr>
          <w:rFonts w:ascii="Gotham" w:hAnsi="Gotham"/>
        </w:rPr>
      </w:pPr>
      <w:r w:rsidRPr="00320D16">
        <w:rPr>
          <w:rFonts w:ascii="Gotham" w:hAnsi="Gotham"/>
        </w:rPr>
        <w:t>Las acciones tomadas por el Ejecutivo han permitido enfrentar la contingencia sanitaria y económica manteniendo el equilibrio macroeconómico y las finanzas públicas sanas.</w:t>
      </w:r>
    </w:p>
    <w:p w:rsidR="0041413F" w:rsidRPr="00320D16" w:rsidRDefault="0041413F" w:rsidP="00320D16">
      <w:pPr>
        <w:spacing w:line="360" w:lineRule="auto"/>
        <w:rPr>
          <w:rFonts w:ascii="Gotham" w:hAnsi="Gotham"/>
        </w:rPr>
      </w:pPr>
      <w:r w:rsidRPr="00320D16">
        <w:rPr>
          <w:rFonts w:ascii="Gotham" w:hAnsi="Gotham"/>
        </w:rPr>
        <w:t>Para el cierre de 2020, la actualización de las principales variables macroeconómicas se encuentra dentro de un contexto en el que la recuperación económica global es aún incierta; no obstante, considera, entre otros factores, la recuperación del sector manufacturero conforme lo haga la producción industrial de Estados Unidos y apoyado por la certidumbre que ofrece el T-MEC; así como del mejor dinamismo que presenten otros sectores como la construcción (a medida que se retomen los proyectos suspendidos), el comercio (en línea con la reapertura gradual y el mayor uso de herramientas digitales) y el sector servicios.</w:t>
      </w:r>
    </w:p>
    <w:p w:rsidR="0041413F" w:rsidRPr="00320D16" w:rsidRDefault="0041413F" w:rsidP="00320D16">
      <w:pPr>
        <w:spacing w:line="360" w:lineRule="auto"/>
        <w:rPr>
          <w:rFonts w:ascii="Gotham" w:hAnsi="Gotham"/>
        </w:rPr>
      </w:pPr>
      <w:r w:rsidRPr="00320D16">
        <w:rPr>
          <w:rFonts w:ascii="Gotham" w:hAnsi="Gotham"/>
        </w:rPr>
        <w:t>Las políticas fiscal y financiera que se plantean en el Paquete Económico 2021 están orientadas a ampliar y fortalecer las capacidades del sistema de salud, particularmente los servicios orientados a la atención de los grupos más vulnerables; promover un restablecimiento rápido y sostenido del empleo y de la actividad económica; continuar reduciendo la desigualdad y sentando las bases para un desarrollo equilibrado y vigoroso en el largo plazo; y asegurar la sostenibilidad fiscal de largo plazo.</w:t>
      </w:r>
    </w:p>
    <w:p w:rsidR="0041413F" w:rsidRPr="00320D16" w:rsidRDefault="0041413F" w:rsidP="00320D16">
      <w:pPr>
        <w:spacing w:line="360" w:lineRule="auto"/>
        <w:rPr>
          <w:rFonts w:ascii="Gotham" w:hAnsi="Gotham"/>
        </w:rPr>
      </w:pPr>
      <w:r w:rsidRPr="00320D16">
        <w:rPr>
          <w:rFonts w:ascii="Gotham" w:hAnsi="Gotham"/>
        </w:rPr>
        <w:t>De acuerdo al FMI, dentro de las Perspectivas de la Economía Mundial en su publicación al mes de octubre de 2020, se prevé que, en México, para finalizar el año 2020 se de una contracción de (-9.0) por ciento, con una recuperación 3.5 por ciento, para 2021.</w:t>
      </w:r>
    </w:p>
    <w:p w:rsidR="0041413F" w:rsidRPr="00320D16" w:rsidRDefault="0041413F" w:rsidP="00320D16">
      <w:pPr>
        <w:spacing w:line="360" w:lineRule="auto"/>
        <w:rPr>
          <w:rFonts w:ascii="Gotham" w:hAnsi="Gotham"/>
          <w:color w:val="000000"/>
          <w:lang w:eastAsia="es-MX"/>
        </w:rPr>
      </w:pPr>
    </w:p>
    <w:p w:rsidR="0041413F" w:rsidRPr="00320D16" w:rsidRDefault="0041413F" w:rsidP="00320D16">
      <w:pPr>
        <w:spacing w:line="360" w:lineRule="auto"/>
        <w:rPr>
          <w:rFonts w:ascii="Gotham" w:hAnsi="Gotham"/>
          <w:b/>
          <w:color w:val="000000"/>
          <w:lang w:eastAsia="es-MX"/>
        </w:rPr>
      </w:pPr>
    </w:p>
    <w:p w:rsidR="0041413F" w:rsidRPr="00320D16" w:rsidRDefault="0041413F" w:rsidP="00320D16">
      <w:pPr>
        <w:spacing w:line="360" w:lineRule="auto"/>
        <w:rPr>
          <w:rFonts w:ascii="Gotham" w:hAnsi="Gotham"/>
          <w:b/>
          <w:color w:val="000000"/>
          <w:lang w:eastAsia="es-MX"/>
        </w:rPr>
      </w:pPr>
    </w:p>
    <w:p w:rsidR="0041413F" w:rsidRPr="00320D16" w:rsidRDefault="0041413F" w:rsidP="00320D16">
      <w:pPr>
        <w:spacing w:line="360" w:lineRule="auto"/>
        <w:rPr>
          <w:rFonts w:ascii="Gotham" w:hAnsi="Gotham"/>
          <w:b/>
          <w:color w:val="000000"/>
          <w:lang w:eastAsia="es-MX"/>
        </w:rPr>
      </w:pPr>
      <w:r w:rsidRPr="00320D16">
        <w:rPr>
          <w:rFonts w:ascii="Gotham" w:hAnsi="Gotham"/>
          <w:b/>
          <w:color w:val="000000"/>
          <w:lang w:eastAsia="es-MX"/>
        </w:rPr>
        <w:lastRenderedPageBreak/>
        <w:t>I.2.1. PIB Nacional</w:t>
      </w:r>
    </w:p>
    <w:p w:rsidR="0041413F" w:rsidRPr="00320D16" w:rsidRDefault="0041413F" w:rsidP="00320D16">
      <w:pPr>
        <w:spacing w:line="360" w:lineRule="auto"/>
        <w:rPr>
          <w:rFonts w:ascii="Gotham" w:hAnsi="Gotham"/>
        </w:rPr>
      </w:pPr>
      <w:r w:rsidRPr="00320D16">
        <w:rPr>
          <w:rFonts w:ascii="Gotham" w:hAnsi="Gotham"/>
        </w:rPr>
        <w:t>Se prevé que, en México, donde la pandemia continuó propa</w:t>
      </w:r>
      <w:r w:rsidRPr="00320D16">
        <w:rPr>
          <w:rFonts w:ascii="Gotham" w:hAnsi="Gotham"/>
        </w:rPr>
        <w:softHyphen/>
        <w:t>gándose, donde la debilidad de la demanda externa representó un lastre particularmente pesado para los sectores de exportación en la economía mexicana, el acuerdo comercial entre Canadá, Estados Unidos y México que entró en vigor el 1 de julio, contribuirá a disminuir la incertidumbre a corto plazo sobre la política comercial.  En el último informe del FMI de Octubre de 2020, para finalizar el año la economía mexicana estiman que se contraiga en (-9.0) por ciento, debido a toda la incertidumbre que se ha desarrollado sobre la pandemia, demanda externa para sectores de exportación en la economía mexicana.</w:t>
      </w:r>
    </w:p>
    <w:p w:rsidR="0041413F" w:rsidRPr="00320D16" w:rsidRDefault="0041413F" w:rsidP="00320D16">
      <w:pPr>
        <w:spacing w:line="360" w:lineRule="auto"/>
        <w:rPr>
          <w:rFonts w:ascii="Gotham" w:hAnsi="Gotham"/>
        </w:rPr>
      </w:pPr>
      <w:r w:rsidRPr="00320D16">
        <w:rPr>
          <w:rFonts w:ascii="Gotham" w:hAnsi="Gotham"/>
        </w:rPr>
        <w:t>El Producto Interno Bruto nacional medido por sectores de actividad económica y acumulado de enero a septiembre del 2020</w:t>
      </w:r>
      <w:r w:rsidR="00927E07" w:rsidRPr="00320D16">
        <w:rPr>
          <w:rFonts w:ascii="Gotham" w:hAnsi="Gotham"/>
        </w:rPr>
        <w:t>,</w:t>
      </w:r>
      <w:r w:rsidRPr="00320D16">
        <w:rPr>
          <w:rFonts w:ascii="Gotham" w:hAnsi="Gotham"/>
        </w:rPr>
        <w:t xml:space="preserve"> muestra una contracción de (-9.6) por ciento, con respecto al mismo periodo anterior.</w:t>
      </w:r>
    </w:p>
    <w:p w:rsidR="0041413F" w:rsidRDefault="0041413F" w:rsidP="00320D16">
      <w:pPr>
        <w:spacing w:line="360" w:lineRule="auto"/>
        <w:rPr>
          <w:rFonts w:ascii="Gotham" w:hAnsi="Gotham"/>
        </w:rPr>
      </w:pPr>
      <w:r w:rsidRPr="00320D16">
        <w:rPr>
          <w:rFonts w:ascii="Gotham" w:hAnsi="Gotham"/>
        </w:rPr>
        <w:t>Por sectores productivos, los que más aportaron a la economía en el periodo de enero a septiembre 2020 fueron: las actividades primarias con 0.8 por ciento, las actividades que se vieron fuertemente afectadas son las secundarias con (-12.2) y  las terciarias (-8.6) por ciento.</w:t>
      </w:r>
    </w:p>
    <w:p w:rsidR="00320D16" w:rsidRPr="00320D16" w:rsidRDefault="00320D16" w:rsidP="00320D16">
      <w:pPr>
        <w:spacing w:line="360" w:lineRule="auto"/>
        <w:rPr>
          <w:rFonts w:ascii="Gotham" w:hAnsi="Gotham"/>
        </w:rPr>
      </w:pPr>
    </w:p>
    <w:p w:rsidR="0041413F" w:rsidRPr="00320D16" w:rsidRDefault="0041413F" w:rsidP="00320D16">
      <w:pPr>
        <w:autoSpaceDE w:val="0"/>
        <w:autoSpaceDN w:val="0"/>
        <w:adjustRightInd w:val="0"/>
        <w:spacing w:after="0" w:line="360" w:lineRule="auto"/>
        <w:jc w:val="center"/>
        <w:rPr>
          <w:rFonts w:ascii="Gotham" w:hAnsi="Gotham" w:cs="Century Gothic"/>
          <w:color w:val="000000"/>
        </w:rPr>
      </w:pPr>
      <w:r w:rsidRPr="00320D16">
        <w:rPr>
          <w:rFonts w:ascii="Gotham" w:hAnsi="Gotham" w:cs="Century Gothic"/>
          <w:b/>
          <w:bCs/>
          <w:color w:val="000000"/>
        </w:rPr>
        <w:t>Cuadro I.2.</w:t>
      </w:r>
    </w:p>
    <w:p w:rsidR="0041413F" w:rsidRPr="00320D16" w:rsidRDefault="0041413F" w:rsidP="00320D16">
      <w:pPr>
        <w:autoSpaceDE w:val="0"/>
        <w:autoSpaceDN w:val="0"/>
        <w:adjustRightInd w:val="0"/>
        <w:spacing w:after="0" w:line="360" w:lineRule="auto"/>
        <w:jc w:val="center"/>
        <w:rPr>
          <w:rFonts w:ascii="Gotham" w:hAnsi="Gotham" w:cs="Century Gothic"/>
          <w:b/>
          <w:bCs/>
          <w:color w:val="000000"/>
        </w:rPr>
      </w:pPr>
      <w:r w:rsidRPr="00320D16">
        <w:rPr>
          <w:rFonts w:ascii="Gotham" w:hAnsi="Gotham" w:cs="Century Gothic"/>
          <w:b/>
          <w:bCs/>
          <w:color w:val="000000"/>
        </w:rPr>
        <w:t xml:space="preserve">Producto Interno Bruto </w:t>
      </w:r>
    </w:p>
    <w:p w:rsidR="0041413F" w:rsidRPr="00320D16" w:rsidRDefault="0041413F" w:rsidP="00320D16">
      <w:pPr>
        <w:autoSpaceDE w:val="0"/>
        <w:autoSpaceDN w:val="0"/>
        <w:adjustRightInd w:val="0"/>
        <w:spacing w:after="0" w:line="360" w:lineRule="auto"/>
        <w:jc w:val="center"/>
        <w:rPr>
          <w:rFonts w:ascii="Gotham" w:hAnsi="Gotham" w:cs="Century Gothic"/>
          <w:b/>
          <w:bCs/>
          <w:color w:val="000000"/>
        </w:rPr>
      </w:pPr>
      <w:r w:rsidRPr="00320D16">
        <w:rPr>
          <w:rFonts w:ascii="Gotham" w:hAnsi="Gotham" w:cs="Century Gothic"/>
          <w:b/>
          <w:bCs/>
          <w:color w:val="000000"/>
        </w:rPr>
        <w:t>Variación porcentual real respecto al mismo periodo del año anterior</w:t>
      </w:r>
    </w:p>
    <w:p w:rsidR="0041413F" w:rsidRPr="00320D16" w:rsidRDefault="0041413F" w:rsidP="00320D16">
      <w:pPr>
        <w:autoSpaceDE w:val="0"/>
        <w:autoSpaceDN w:val="0"/>
        <w:adjustRightInd w:val="0"/>
        <w:spacing w:after="0" w:line="360" w:lineRule="auto"/>
        <w:jc w:val="center"/>
        <w:rPr>
          <w:rFonts w:ascii="Gotham" w:hAnsi="Gotham" w:cs="Century Gothic"/>
          <w:bCs/>
          <w:color w:val="000000"/>
        </w:rPr>
      </w:pPr>
      <w:r w:rsidRPr="00320D16">
        <w:rPr>
          <w:rFonts w:ascii="Gotham" w:hAnsi="Gotham" w:cs="Century Gothic"/>
          <w:bCs/>
          <w:color w:val="000000"/>
        </w:rPr>
        <w:t>(Porcentaje Real)</w:t>
      </w:r>
    </w:p>
    <w:p w:rsidR="0041413F" w:rsidRPr="00320D16" w:rsidRDefault="0041413F" w:rsidP="00320D16">
      <w:pPr>
        <w:spacing w:line="360" w:lineRule="auto"/>
        <w:rPr>
          <w:rFonts w:ascii="Gotham" w:hAnsi="Gotham"/>
          <w:b/>
          <w:color w:val="000000"/>
          <w:lang w:eastAsia="es-MX"/>
        </w:rPr>
      </w:pPr>
    </w:p>
    <w:p w:rsidR="0041413F" w:rsidRPr="00320D16" w:rsidRDefault="0041413F" w:rsidP="00320D16">
      <w:pPr>
        <w:spacing w:line="360" w:lineRule="auto"/>
        <w:rPr>
          <w:rFonts w:ascii="Gotham" w:hAnsi="Gotham"/>
          <w:b/>
          <w:color w:val="000000"/>
          <w:lang w:eastAsia="es-MX"/>
        </w:rPr>
      </w:pPr>
      <w:r w:rsidRPr="00320D16">
        <w:rPr>
          <w:rFonts w:ascii="Gotham" w:hAnsi="Gotham"/>
          <w:noProof/>
          <w:lang w:eastAsia="es-MX"/>
        </w:rPr>
        <w:drawing>
          <wp:inline distT="0" distB="0" distL="0" distR="0" wp14:anchorId="56B04A5F" wp14:editId="4421FE7F">
            <wp:extent cx="5612130" cy="107056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1070560"/>
                    </a:xfrm>
                    <a:prstGeom prst="rect">
                      <a:avLst/>
                    </a:prstGeom>
                    <a:noFill/>
                    <a:ln>
                      <a:noFill/>
                    </a:ln>
                  </pic:spPr>
                </pic:pic>
              </a:graphicData>
            </a:graphic>
          </wp:inline>
        </w:drawing>
      </w:r>
    </w:p>
    <w:p w:rsidR="0041413F" w:rsidRPr="00320D16" w:rsidRDefault="0041413F" w:rsidP="00320D16">
      <w:pPr>
        <w:spacing w:line="360" w:lineRule="auto"/>
        <w:rPr>
          <w:rFonts w:ascii="Gotham" w:hAnsi="Gotham"/>
          <w:b/>
          <w:color w:val="000000"/>
          <w:lang w:eastAsia="es-MX"/>
        </w:rPr>
      </w:pPr>
    </w:p>
    <w:p w:rsidR="0041413F" w:rsidRPr="00320D16" w:rsidRDefault="0041413F" w:rsidP="00320D16">
      <w:pPr>
        <w:spacing w:line="360" w:lineRule="auto"/>
        <w:rPr>
          <w:rFonts w:ascii="Gotham" w:hAnsi="Gotham"/>
          <w:b/>
          <w:color w:val="000000"/>
          <w:lang w:eastAsia="es-MX"/>
        </w:rPr>
      </w:pPr>
    </w:p>
    <w:p w:rsidR="0041413F" w:rsidRPr="00320D16" w:rsidRDefault="0041413F" w:rsidP="00320D16">
      <w:pPr>
        <w:spacing w:line="360" w:lineRule="auto"/>
        <w:rPr>
          <w:rFonts w:ascii="Gotham" w:hAnsi="Gotham"/>
          <w:b/>
          <w:color w:val="000000"/>
          <w:lang w:eastAsia="es-MX"/>
        </w:rPr>
      </w:pPr>
    </w:p>
    <w:p w:rsidR="0041413F" w:rsidRPr="00320D16" w:rsidRDefault="0041413F" w:rsidP="00320D16">
      <w:pPr>
        <w:spacing w:line="360" w:lineRule="auto"/>
        <w:rPr>
          <w:rFonts w:ascii="Gotham" w:hAnsi="Gotham"/>
          <w:b/>
          <w:color w:val="000000"/>
          <w:lang w:eastAsia="es-MX"/>
        </w:rPr>
      </w:pPr>
    </w:p>
    <w:p w:rsidR="0041413F" w:rsidRPr="00320D16" w:rsidRDefault="0041413F" w:rsidP="00320D16">
      <w:pPr>
        <w:spacing w:line="360" w:lineRule="auto"/>
        <w:rPr>
          <w:rFonts w:ascii="Gotham" w:hAnsi="Gotham"/>
          <w:b/>
          <w:color w:val="000000"/>
          <w:lang w:eastAsia="es-MX"/>
        </w:rPr>
      </w:pPr>
      <w:r w:rsidRPr="00320D16">
        <w:rPr>
          <w:rFonts w:ascii="Gotham" w:hAnsi="Gotham"/>
          <w:b/>
          <w:color w:val="000000"/>
          <w:lang w:eastAsia="es-MX"/>
        </w:rPr>
        <w:lastRenderedPageBreak/>
        <w:t>I.2.2. Mercado Laboral y Tasa de Desocupación</w:t>
      </w:r>
    </w:p>
    <w:p w:rsidR="00CD1C6D" w:rsidRDefault="00CD1C6D" w:rsidP="00320D16">
      <w:pPr>
        <w:spacing w:line="360" w:lineRule="auto"/>
        <w:rPr>
          <w:rFonts w:ascii="Gotham" w:hAnsi="Gotham"/>
        </w:rPr>
      </w:pPr>
      <w:r w:rsidRPr="00320D16">
        <w:rPr>
          <w:rFonts w:ascii="Gotham" w:hAnsi="Gotham"/>
        </w:rPr>
        <w:t>Con datos actualizados de la Secretar</w:t>
      </w:r>
      <w:r w:rsidR="000D1079" w:rsidRPr="00320D16">
        <w:rPr>
          <w:rFonts w:ascii="Gotham" w:hAnsi="Gotham"/>
        </w:rPr>
        <w:t>í</w:t>
      </w:r>
      <w:r w:rsidRPr="00320D16">
        <w:rPr>
          <w:rFonts w:ascii="Gotham" w:hAnsi="Gotham"/>
        </w:rPr>
        <w:t xml:space="preserve">a del Trabajo y Previsión Social, al mes de octubre de 2020, el número de trabajadores asegurados </w:t>
      </w:r>
      <w:r w:rsidR="000D1079" w:rsidRPr="00320D16">
        <w:rPr>
          <w:rFonts w:ascii="Gotham" w:hAnsi="Gotham"/>
        </w:rPr>
        <w:t>en el</w:t>
      </w:r>
      <w:r w:rsidRPr="00320D16">
        <w:rPr>
          <w:rFonts w:ascii="Gotham" w:hAnsi="Gotham"/>
        </w:rPr>
        <w:t xml:space="preserve"> IMSS ascendió a 19 millones </w:t>
      </w:r>
      <w:r w:rsidR="00C16497" w:rsidRPr="00320D16">
        <w:rPr>
          <w:rFonts w:ascii="Gotham" w:hAnsi="Gotham"/>
        </w:rPr>
        <w:t>673</w:t>
      </w:r>
      <w:r w:rsidRPr="00320D16">
        <w:rPr>
          <w:rFonts w:ascii="Gotham" w:hAnsi="Gotham"/>
        </w:rPr>
        <w:t xml:space="preserve"> mil </w:t>
      </w:r>
      <w:r w:rsidR="00C16497" w:rsidRPr="00320D16">
        <w:rPr>
          <w:rFonts w:ascii="Gotham" w:hAnsi="Gotham"/>
        </w:rPr>
        <w:t>359</w:t>
      </w:r>
      <w:r w:rsidRPr="00320D16">
        <w:rPr>
          <w:rFonts w:ascii="Gotham" w:hAnsi="Gotham"/>
        </w:rPr>
        <w:t xml:space="preserve"> cotizantes, cifra m</w:t>
      </w:r>
      <w:r w:rsidR="00C16497" w:rsidRPr="00320D16">
        <w:rPr>
          <w:rFonts w:ascii="Gotham" w:hAnsi="Gotham"/>
        </w:rPr>
        <w:t>eno</w:t>
      </w:r>
      <w:r w:rsidRPr="00320D16">
        <w:rPr>
          <w:rFonts w:ascii="Gotham" w:hAnsi="Gotham"/>
        </w:rPr>
        <w:t xml:space="preserve">r en </w:t>
      </w:r>
      <w:r w:rsidR="00C16497" w:rsidRPr="00320D16">
        <w:rPr>
          <w:rFonts w:ascii="Gotham" w:hAnsi="Gotham"/>
        </w:rPr>
        <w:t>831</w:t>
      </w:r>
      <w:r w:rsidRPr="00320D16">
        <w:rPr>
          <w:rFonts w:ascii="Gotham" w:hAnsi="Gotham"/>
        </w:rPr>
        <w:t xml:space="preserve"> mil </w:t>
      </w:r>
      <w:r w:rsidR="00C16497" w:rsidRPr="00320D16">
        <w:rPr>
          <w:rFonts w:ascii="Gotham" w:hAnsi="Gotham"/>
        </w:rPr>
        <w:t>586</w:t>
      </w:r>
      <w:r w:rsidRPr="00320D16">
        <w:rPr>
          <w:rFonts w:ascii="Gotham" w:hAnsi="Gotham"/>
        </w:rPr>
        <w:t xml:space="preserve"> plazas respecto al mismo mes del año previo</w:t>
      </w:r>
      <w:r w:rsidR="000D1079" w:rsidRPr="00320D16">
        <w:rPr>
          <w:rFonts w:ascii="Gotham" w:hAnsi="Gotham"/>
        </w:rPr>
        <w:t xml:space="preserve"> anterior</w:t>
      </w:r>
      <w:r w:rsidRPr="00320D16">
        <w:rPr>
          <w:rFonts w:ascii="Gotham" w:hAnsi="Gotham"/>
        </w:rPr>
        <w:t>, equivalente a un crecimiento anual de 4.24 por ciento, de los cuales el 84 por ciento fueron permanentes, 14 por ciento eventuales urbanos.</w:t>
      </w:r>
      <w:r w:rsidR="009F2B49" w:rsidRPr="00320D16">
        <w:rPr>
          <w:rFonts w:ascii="Gotham" w:hAnsi="Gotham"/>
        </w:rPr>
        <w:t xml:space="preserve"> Debido a la pandemia se han perdido 831 mil 586 empleos entre permanentes y eventuales </w:t>
      </w:r>
      <w:r w:rsidR="00413AC9" w:rsidRPr="00320D16">
        <w:rPr>
          <w:rFonts w:ascii="Gotham" w:hAnsi="Gotham"/>
        </w:rPr>
        <w:t xml:space="preserve">al mes de octubre, </w:t>
      </w:r>
      <w:r w:rsidR="009F2B49" w:rsidRPr="00320D16">
        <w:rPr>
          <w:rFonts w:ascii="Gotham" w:hAnsi="Gotham"/>
        </w:rPr>
        <w:t>comparado con igual año anterior lo que representa una caída del 4.1 por ciento.</w:t>
      </w:r>
    </w:p>
    <w:p w:rsidR="002F614D" w:rsidRPr="00320D16" w:rsidRDefault="002F614D" w:rsidP="00320D16">
      <w:pPr>
        <w:spacing w:line="360" w:lineRule="auto"/>
        <w:rPr>
          <w:rFonts w:ascii="Gotham" w:hAnsi="Gotham"/>
        </w:rPr>
      </w:pPr>
    </w:p>
    <w:p w:rsidR="0041413F" w:rsidRPr="00320D16" w:rsidRDefault="0041413F" w:rsidP="00320D16">
      <w:pPr>
        <w:autoSpaceDE w:val="0"/>
        <w:autoSpaceDN w:val="0"/>
        <w:adjustRightInd w:val="0"/>
        <w:spacing w:after="0" w:line="360" w:lineRule="auto"/>
        <w:jc w:val="center"/>
        <w:rPr>
          <w:rFonts w:ascii="Gotham" w:hAnsi="Gotham" w:cs="Century Gothic"/>
          <w:color w:val="000000"/>
        </w:rPr>
      </w:pPr>
      <w:r w:rsidRPr="00320D16">
        <w:rPr>
          <w:rFonts w:ascii="Gotham" w:hAnsi="Gotham" w:cs="Century Gothic"/>
          <w:b/>
          <w:bCs/>
          <w:color w:val="000000"/>
        </w:rPr>
        <w:t>Grafica I.1</w:t>
      </w:r>
    </w:p>
    <w:p w:rsidR="0041413F" w:rsidRPr="00320D16" w:rsidRDefault="0041413F" w:rsidP="00320D16">
      <w:pPr>
        <w:autoSpaceDE w:val="0"/>
        <w:autoSpaceDN w:val="0"/>
        <w:adjustRightInd w:val="0"/>
        <w:spacing w:after="0" w:line="360" w:lineRule="auto"/>
        <w:jc w:val="center"/>
        <w:rPr>
          <w:rFonts w:ascii="Gotham" w:hAnsi="Gotham" w:cs="Century Gothic"/>
          <w:b/>
          <w:bCs/>
          <w:color w:val="000000"/>
        </w:rPr>
      </w:pPr>
      <w:r w:rsidRPr="00320D16">
        <w:rPr>
          <w:rFonts w:ascii="Gotham" w:hAnsi="Gotham" w:cs="Century Gothic"/>
          <w:b/>
          <w:bCs/>
          <w:color w:val="000000"/>
        </w:rPr>
        <w:t>Variación Anual de Trabajadores Asegurados</w:t>
      </w:r>
    </w:p>
    <w:p w:rsidR="0041413F" w:rsidRPr="00320D16" w:rsidRDefault="0041413F" w:rsidP="00320D16">
      <w:pPr>
        <w:spacing w:after="0" w:line="360" w:lineRule="auto"/>
        <w:jc w:val="center"/>
        <w:rPr>
          <w:rFonts w:ascii="Gotham" w:hAnsi="Gotham" w:cs="Century Gothic"/>
          <w:bCs/>
          <w:color w:val="000000"/>
        </w:rPr>
      </w:pPr>
      <w:r w:rsidRPr="00320D16">
        <w:rPr>
          <w:rFonts w:ascii="Gotham" w:hAnsi="Gotham" w:cs="Century Gothic"/>
          <w:bCs/>
          <w:color w:val="000000"/>
        </w:rPr>
        <w:t>(Miles de Trabajadores)</w:t>
      </w:r>
      <w:r w:rsidR="00281C2A" w:rsidRPr="00320D16">
        <w:rPr>
          <w:rFonts w:ascii="Gotham" w:hAnsi="Gotham"/>
        </w:rPr>
        <w:t xml:space="preserve"> </w:t>
      </w:r>
      <w:r w:rsidR="00281C2A" w:rsidRPr="00320D16">
        <w:rPr>
          <w:rFonts w:ascii="Gotham" w:hAnsi="Gotham"/>
          <w:noProof/>
          <w:lang w:eastAsia="es-MX"/>
        </w:rPr>
        <w:drawing>
          <wp:inline distT="0" distB="0" distL="0" distR="0" wp14:anchorId="7208D505" wp14:editId="57E12703">
            <wp:extent cx="5178136" cy="219075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3895" cy="2193187"/>
                    </a:xfrm>
                    <a:prstGeom prst="rect">
                      <a:avLst/>
                    </a:prstGeom>
                    <a:noFill/>
                    <a:ln>
                      <a:noFill/>
                    </a:ln>
                  </pic:spPr>
                </pic:pic>
              </a:graphicData>
            </a:graphic>
          </wp:inline>
        </w:drawing>
      </w:r>
    </w:p>
    <w:p w:rsidR="0041413F" w:rsidRPr="00320D16" w:rsidRDefault="0041413F" w:rsidP="00320D16">
      <w:pPr>
        <w:spacing w:line="360" w:lineRule="auto"/>
        <w:jc w:val="center"/>
        <w:rPr>
          <w:rFonts w:ascii="Gotham" w:hAnsi="Gotham" w:cs="Century Gothic"/>
          <w:bCs/>
          <w:color w:val="000000"/>
        </w:rPr>
      </w:pPr>
    </w:p>
    <w:p w:rsidR="0041413F" w:rsidRPr="00320D16" w:rsidRDefault="0041413F" w:rsidP="00320D16">
      <w:pPr>
        <w:spacing w:line="360" w:lineRule="auto"/>
        <w:rPr>
          <w:rFonts w:ascii="Gotham" w:hAnsi="Gotham"/>
        </w:rPr>
      </w:pPr>
      <w:r w:rsidRPr="00320D16">
        <w:rPr>
          <w:rFonts w:ascii="Gotham" w:hAnsi="Gotham"/>
        </w:rPr>
        <w:t>La tasa desocupación nacional, con igual periodo (enero-marzo) del año anterior, se incrementó en 0.1 por ciento, con cifras de la Encuesta Nacional de Ocupación y Empleo (ENOE) el 31 de marzo hasta nuevo aviso para su publicación en la página de INEGI debido a la emergencia sanitaria se suprime la difusión de resultados (ENOE) entrevista cara a cara. Por lo que con igual periodo (abril a junio) del año anterior fue de 1.3 y de 1.5 por ciento de (julio a septiembre), con cifras de Encuesta Nacional de Ocupación y Empleo Nueva Edición (ENOEN) por la emergencia sanitaria.</w:t>
      </w:r>
      <w:r w:rsidR="00240743" w:rsidRPr="00320D16">
        <w:rPr>
          <w:rFonts w:ascii="Gotham" w:hAnsi="Gotham"/>
        </w:rPr>
        <w:t xml:space="preserve"> Actualmente, al mes de octubre registro una tasa de 4.7 por ciento que comparada con igual mes de año anterior se incrementó en 1.1 por ciento. </w:t>
      </w:r>
    </w:p>
    <w:p w:rsidR="00320D16" w:rsidRPr="00320D16" w:rsidRDefault="00320D16" w:rsidP="00320D16">
      <w:pPr>
        <w:autoSpaceDE w:val="0"/>
        <w:autoSpaceDN w:val="0"/>
        <w:adjustRightInd w:val="0"/>
        <w:spacing w:line="360" w:lineRule="auto"/>
        <w:jc w:val="center"/>
        <w:rPr>
          <w:rFonts w:ascii="Gotham" w:hAnsi="Gotham" w:cs="Century Gothic"/>
          <w:b/>
          <w:bCs/>
          <w:color w:val="000000"/>
        </w:rPr>
      </w:pPr>
    </w:p>
    <w:p w:rsidR="0041413F" w:rsidRPr="00320D16" w:rsidRDefault="0041413F" w:rsidP="00320D16">
      <w:pPr>
        <w:autoSpaceDE w:val="0"/>
        <w:autoSpaceDN w:val="0"/>
        <w:adjustRightInd w:val="0"/>
        <w:spacing w:after="0" w:line="360" w:lineRule="auto"/>
        <w:jc w:val="center"/>
        <w:rPr>
          <w:rFonts w:ascii="Gotham" w:hAnsi="Gotham" w:cs="Century Gothic"/>
          <w:color w:val="000000"/>
        </w:rPr>
      </w:pPr>
      <w:r w:rsidRPr="00320D16">
        <w:rPr>
          <w:rFonts w:ascii="Gotham" w:hAnsi="Gotham" w:cs="Century Gothic"/>
          <w:b/>
          <w:bCs/>
          <w:color w:val="000000"/>
        </w:rPr>
        <w:lastRenderedPageBreak/>
        <w:t>Grafica I.2</w:t>
      </w:r>
    </w:p>
    <w:p w:rsidR="0041413F" w:rsidRPr="00320D16" w:rsidRDefault="0041413F" w:rsidP="00320D16">
      <w:pPr>
        <w:autoSpaceDE w:val="0"/>
        <w:autoSpaceDN w:val="0"/>
        <w:adjustRightInd w:val="0"/>
        <w:spacing w:after="0" w:line="360" w:lineRule="auto"/>
        <w:jc w:val="center"/>
        <w:rPr>
          <w:rFonts w:ascii="Gotham" w:hAnsi="Gotham" w:cs="Century Gothic"/>
          <w:b/>
          <w:bCs/>
          <w:color w:val="000000"/>
        </w:rPr>
      </w:pPr>
      <w:r w:rsidRPr="00320D16">
        <w:rPr>
          <w:rFonts w:ascii="Gotham" w:hAnsi="Gotham" w:cs="Century Gothic"/>
          <w:b/>
          <w:bCs/>
          <w:color w:val="000000"/>
        </w:rPr>
        <w:t>Tasa de Desocupación</w:t>
      </w:r>
    </w:p>
    <w:p w:rsidR="0041413F" w:rsidRPr="00320D16" w:rsidRDefault="0041413F" w:rsidP="00320D16">
      <w:pPr>
        <w:autoSpaceDE w:val="0"/>
        <w:autoSpaceDN w:val="0"/>
        <w:adjustRightInd w:val="0"/>
        <w:spacing w:after="0" w:line="360" w:lineRule="auto"/>
        <w:jc w:val="center"/>
        <w:rPr>
          <w:rFonts w:ascii="Gotham" w:hAnsi="Gotham" w:cs="Century Gothic"/>
          <w:bCs/>
          <w:color w:val="000000"/>
        </w:rPr>
      </w:pPr>
      <w:r w:rsidRPr="00320D16">
        <w:rPr>
          <w:rFonts w:ascii="Gotham" w:hAnsi="Gotham" w:cs="Century Gothic"/>
          <w:bCs/>
          <w:color w:val="000000"/>
        </w:rPr>
        <w:t>(Porcentaje)</w:t>
      </w:r>
    </w:p>
    <w:p w:rsidR="0041413F" w:rsidRPr="00320D16" w:rsidRDefault="00C3060E" w:rsidP="00320D16">
      <w:pPr>
        <w:autoSpaceDE w:val="0"/>
        <w:autoSpaceDN w:val="0"/>
        <w:adjustRightInd w:val="0"/>
        <w:spacing w:line="360" w:lineRule="auto"/>
        <w:jc w:val="center"/>
        <w:rPr>
          <w:rFonts w:ascii="Gotham" w:hAnsi="Gotham" w:cs="Century Gothic"/>
          <w:bCs/>
          <w:color w:val="000000"/>
        </w:rPr>
      </w:pPr>
      <w:r w:rsidRPr="00320D16">
        <w:rPr>
          <w:rFonts w:ascii="Gotham" w:hAnsi="Gotham"/>
          <w:noProof/>
          <w:lang w:eastAsia="es-MX"/>
        </w:rPr>
        <w:drawing>
          <wp:inline distT="0" distB="0" distL="0" distR="0">
            <wp:extent cx="3790950" cy="2106893"/>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90950" cy="2106893"/>
                    </a:xfrm>
                    <a:prstGeom prst="rect">
                      <a:avLst/>
                    </a:prstGeom>
                    <a:noFill/>
                    <a:ln>
                      <a:noFill/>
                    </a:ln>
                  </pic:spPr>
                </pic:pic>
              </a:graphicData>
            </a:graphic>
          </wp:inline>
        </w:drawing>
      </w:r>
    </w:p>
    <w:p w:rsidR="0041413F" w:rsidRPr="00320D16" w:rsidRDefault="0041413F" w:rsidP="00320D16">
      <w:pPr>
        <w:spacing w:line="360" w:lineRule="auto"/>
        <w:rPr>
          <w:rFonts w:ascii="Gotham" w:hAnsi="Gotham"/>
          <w:b/>
          <w:color w:val="000000"/>
          <w:lang w:eastAsia="es-MX"/>
        </w:rPr>
      </w:pPr>
      <w:r w:rsidRPr="00320D16">
        <w:rPr>
          <w:rFonts w:ascii="Gotham" w:hAnsi="Gotham"/>
          <w:b/>
          <w:color w:val="000000"/>
          <w:lang w:eastAsia="es-MX"/>
        </w:rPr>
        <w:t>I.2.3. Inflación</w:t>
      </w:r>
    </w:p>
    <w:p w:rsidR="0041413F" w:rsidRPr="00320D16" w:rsidRDefault="0041413F" w:rsidP="00320D16">
      <w:pPr>
        <w:spacing w:line="360" w:lineRule="auto"/>
        <w:rPr>
          <w:rFonts w:ascii="Gotham" w:hAnsi="Gotham"/>
        </w:rPr>
      </w:pPr>
      <w:r w:rsidRPr="00320D16">
        <w:rPr>
          <w:rFonts w:ascii="Gotham" w:hAnsi="Gotham"/>
        </w:rPr>
        <w:t xml:space="preserve">La incertidumbre que prevalece sobre la evolución de la pandemia y los efectos sobre la actividad económica también implica que el panorama para la inflación continúa siendo incierto. En lo que va del año 2020, la evolución de la inflación ha estado afectada por varios </w:t>
      </w:r>
      <w:r w:rsidR="0026019E" w:rsidRPr="00320D16">
        <w:rPr>
          <w:rFonts w:ascii="Gotham" w:hAnsi="Gotham"/>
        </w:rPr>
        <w:t>factores</w:t>
      </w:r>
      <w:r w:rsidRPr="00320D16">
        <w:rPr>
          <w:rFonts w:ascii="Gotham" w:hAnsi="Gotham"/>
        </w:rPr>
        <w:t>, situación que plantea retos y disyuntivas importantes para la conducción de la política monetaria de acuerdo al Banco de México. Así, algunos choques como la depreciación del tipo de cambio, las disrupciones en las cadenas globales de valor o el encarecimiento de insumos, se conjugan con cambios en la recomposición del gasto de los hogares; todo ello en un contexto de amplia holgura en la economía. Es por ello que en este entorno en el que prevalece incertidumbre sobre las presiones tanto a la baja como al alza que pudiera enfrentar la inflación hacia delante, el balance de riesgos para la inflación se mantiene incierto; por lo que espera que al cierre del año 2020 se ubique en 3.5 por ciento.</w:t>
      </w:r>
    </w:p>
    <w:p w:rsidR="0041413F" w:rsidRPr="00320D16" w:rsidRDefault="0041413F" w:rsidP="00320D16">
      <w:pPr>
        <w:spacing w:line="360" w:lineRule="auto"/>
        <w:rPr>
          <w:rFonts w:ascii="Gotham" w:hAnsi="Gotham"/>
        </w:rPr>
      </w:pPr>
      <w:r w:rsidRPr="00320D16">
        <w:rPr>
          <w:rFonts w:ascii="Gotham" w:hAnsi="Gotham"/>
        </w:rPr>
        <w:t xml:space="preserve">Al mes de </w:t>
      </w:r>
      <w:r w:rsidR="00207436" w:rsidRPr="00320D16">
        <w:rPr>
          <w:rFonts w:ascii="Gotham" w:hAnsi="Gotham"/>
        </w:rPr>
        <w:t>noviem</w:t>
      </w:r>
      <w:r w:rsidRPr="00320D16">
        <w:rPr>
          <w:rFonts w:ascii="Gotham" w:hAnsi="Gotham"/>
        </w:rPr>
        <w:t xml:space="preserve">bre 2020, la inflación registrada es de </w:t>
      </w:r>
      <w:r w:rsidR="00207436" w:rsidRPr="00320D16">
        <w:rPr>
          <w:rFonts w:ascii="Gotham" w:hAnsi="Gotham"/>
        </w:rPr>
        <w:t>3.3</w:t>
      </w:r>
      <w:r w:rsidRPr="00320D16">
        <w:rPr>
          <w:rFonts w:ascii="Gotham" w:hAnsi="Gotham"/>
        </w:rPr>
        <w:t xml:space="preserve"> por ciento, cifra que comparada con igual periodo de año anterior fue mayor en </w:t>
      </w:r>
      <w:r w:rsidR="00207436" w:rsidRPr="00320D16">
        <w:rPr>
          <w:rFonts w:ascii="Gotham" w:hAnsi="Gotham"/>
        </w:rPr>
        <w:t>0.4</w:t>
      </w:r>
      <w:r w:rsidRPr="00320D16">
        <w:rPr>
          <w:rFonts w:ascii="Gotham" w:hAnsi="Gotham"/>
        </w:rPr>
        <w:t xml:space="preserve"> por ciento, lo que muestra que la inflación sigue en ascenso ante los diversos choques que se ha producido por la emergencia sanitaria.</w:t>
      </w:r>
    </w:p>
    <w:p w:rsidR="00BA6099" w:rsidRDefault="0041413F" w:rsidP="00320D16">
      <w:pPr>
        <w:tabs>
          <w:tab w:val="left" w:pos="8115"/>
        </w:tabs>
        <w:autoSpaceDE w:val="0"/>
        <w:autoSpaceDN w:val="0"/>
        <w:adjustRightInd w:val="0"/>
        <w:spacing w:line="360" w:lineRule="auto"/>
        <w:rPr>
          <w:rFonts w:ascii="Gotham" w:hAnsi="Gotham" w:cs="Century Gothic"/>
          <w:b/>
          <w:bCs/>
          <w:color w:val="000000"/>
        </w:rPr>
      </w:pPr>
      <w:r w:rsidRPr="00320D16">
        <w:rPr>
          <w:rFonts w:ascii="Gotham" w:hAnsi="Gotham" w:cs="Century Gothic"/>
          <w:b/>
          <w:bCs/>
          <w:color w:val="000000"/>
        </w:rPr>
        <w:tab/>
      </w:r>
    </w:p>
    <w:p w:rsidR="00320D16" w:rsidRPr="00320D16" w:rsidRDefault="00320D16" w:rsidP="00320D16">
      <w:pPr>
        <w:tabs>
          <w:tab w:val="left" w:pos="8115"/>
        </w:tabs>
        <w:autoSpaceDE w:val="0"/>
        <w:autoSpaceDN w:val="0"/>
        <w:adjustRightInd w:val="0"/>
        <w:spacing w:line="360" w:lineRule="auto"/>
        <w:rPr>
          <w:rFonts w:ascii="Gotham" w:hAnsi="Gotham" w:cs="Century Gothic"/>
          <w:b/>
          <w:bCs/>
          <w:color w:val="000000"/>
        </w:rPr>
      </w:pPr>
    </w:p>
    <w:p w:rsidR="00BA6099" w:rsidRPr="00320D16" w:rsidRDefault="00BA6099" w:rsidP="00320D16">
      <w:pPr>
        <w:autoSpaceDE w:val="0"/>
        <w:autoSpaceDN w:val="0"/>
        <w:adjustRightInd w:val="0"/>
        <w:spacing w:line="360" w:lineRule="auto"/>
        <w:jc w:val="center"/>
        <w:rPr>
          <w:rFonts w:ascii="Gotham" w:hAnsi="Gotham" w:cs="Century Gothic"/>
          <w:b/>
          <w:bCs/>
          <w:color w:val="000000"/>
        </w:rPr>
      </w:pPr>
    </w:p>
    <w:p w:rsidR="0041413F" w:rsidRPr="00320D16" w:rsidRDefault="0041413F" w:rsidP="00320D16">
      <w:pPr>
        <w:autoSpaceDE w:val="0"/>
        <w:autoSpaceDN w:val="0"/>
        <w:adjustRightInd w:val="0"/>
        <w:spacing w:after="0" w:line="360" w:lineRule="auto"/>
        <w:jc w:val="center"/>
        <w:rPr>
          <w:rFonts w:ascii="Gotham" w:hAnsi="Gotham" w:cs="Century Gothic"/>
          <w:color w:val="000000"/>
        </w:rPr>
      </w:pPr>
      <w:r w:rsidRPr="00320D16">
        <w:rPr>
          <w:rFonts w:ascii="Gotham" w:hAnsi="Gotham" w:cs="Century Gothic"/>
          <w:b/>
          <w:bCs/>
          <w:color w:val="000000"/>
        </w:rPr>
        <w:lastRenderedPageBreak/>
        <w:t>Grafica I.3</w:t>
      </w:r>
    </w:p>
    <w:p w:rsidR="0041413F" w:rsidRPr="00320D16" w:rsidRDefault="0041413F" w:rsidP="00320D16">
      <w:pPr>
        <w:autoSpaceDE w:val="0"/>
        <w:autoSpaceDN w:val="0"/>
        <w:adjustRightInd w:val="0"/>
        <w:spacing w:after="0" w:line="360" w:lineRule="auto"/>
        <w:jc w:val="center"/>
        <w:rPr>
          <w:rFonts w:ascii="Gotham" w:hAnsi="Gotham" w:cs="Century Gothic"/>
          <w:b/>
          <w:bCs/>
          <w:color w:val="000000"/>
        </w:rPr>
      </w:pPr>
      <w:r w:rsidRPr="00320D16">
        <w:rPr>
          <w:rFonts w:ascii="Gotham" w:hAnsi="Gotham" w:cs="Century Gothic"/>
          <w:b/>
          <w:bCs/>
          <w:color w:val="000000"/>
        </w:rPr>
        <w:t>Inflación Anualizada</w:t>
      </w:r>
    </w:p>
    <w:p w:rsidR="0041413F" w:rsidRPr="00320D16" w:rsidRDefault="0041413F" w:rsidP="00320D16">
      <w:pPr>
        <w:autoSpaceDE w:val="0"/>
        <w:autoSpaceDN w:val="0"/>
        <w:adjustRightInd w:val="0"/>
        <w:spacing w:after="0" w:line="360" w:lineRule="auto"/>
        <w:jc w:val="center"/>
        <w:rPr>
          <w:rFonts w:ascii="Gotham" w:hAnsi="Gotham" w:cs="Century Gothic"/>
          <w:bCs/>
          <w:color w:val="000000"/>
        </w:rPr>
      </w:pPr>
      <w:r w:rsidRPr="00320D16">
        <w:rPr>
          <w:rFonts w:ascii="Gotham" w:hAnsi="Gotham" w:cs="Century Gothic"/>
          <w:bCs/>
          <w:color w:val="000000"/>
        </w:rPr>
        <w:t>(Porcentaje)</w:t>
      </w:r>
    </w:p>
    <w:p w:rsidR="0041413F" w:rsidRPr="00320D16" w:rsidRDefault="00207436" w:rsidP="00320D16">
      <w:pPr>
        <w:spacing w:line="360" w:lineRule="auto"/>
        <w:jc w:val="center"/>
        <w:rPr>
          <w:rFonts w:ascii="Gotham" w:hAnsi="Gotham"/>
          <w:b/>
          <w:color w:val="000000"/>
          <w:lang w:eastAsia="es-MX"/>
        </w:rPr>
      </w:pPr>
      <w:r w:rsidRPr="00320D16">
        <w:rPr>
          <w:rFonts w:ascii="Gotham" w:hAnsi="Gotham"/>
          <w:noProof/>
          <w:lang w:eastAsia="es-MX"/>
        </w:rPr>
        <w:drawing>
          <wp:inline distT="0" distB="0" distL="0" distR="0" wp14:anchorId="1266593B" wp14:editId="7B79E081">
            <wp:extent cx="5200650" cy="214291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2416" cy="2143646"/>
                    </a:xfrm>
                    <a:prstGeom prst="rect">
                      <a:avLst/>
                    </a:prstGeom>
                    <a:noFill/>
                    <a:ln>
                      <a:noFill/>
                    </a:ln>
                  </pic:spPr>
                </pic:pic>
              </a:graphicData>
            </a:graphic>
          </wp:inline>
        </w:drawing>
      </w:r>
    </w:p>
    <w:p w:rsidR="0041413F" w:rsidRPr="00320D16" w:rsidRDefault="0041413F" w:rsidP="00320D16">
      <w:pPr>
        <w:spacing w:line="360" w:lineRule="auto"/>
        <w:rPr>
          <w:rFonts w:ascii="Gotham" w:hAnsi="Gotham"/>
          <w:b/>
          <w:color w:val="000000"/>
          <w:lang w:eastAsia="es-MX"/>
        </w:rPr>
      </w:pPr>
      <w:r w:rsidRPr="00320D16">
        <w:rPr>
          <w:rFonts w:ascii="Gotham" w:hAnsi="Gotham"/>
          <w:b/>
          <w:color w:val="000000"/>
          <w:lang w:eastAsia="es-MX"/>
        </w:rPr>
        <w:t>I.2.4. Captación de Remesas</w:t>
      </w:r>
    </w:p>
    <w:p w:rsidR="0041413F" w:rsidRPr="00320D16" w:rsidRDefault="0041413F" w:rsidP="00320D16">
      <w:pPr>
        <w:spacing w:line="360" w:lineRule="auto"/>
        <w:rPr>
          <w:rFonts w:ascii="Gotham" w:hAnsi="Gotham"/>
        </w:rPr>
      </w:pPr>
      <w:r w:rsidRPr="00320D16">
        <w:rPr>
          <w:rFonts w:ascii="Gotham" w:hAnsi="Gotham"/>
        </w:rPr>
        <w:t xml:space="preserve">En materia de captación de divisa extranjera, por concepto de remesas al país </w:t>
      </w:r>
      <w:r w:rsidR="00420B4B" w:rsidRPr="00320D16">
        <w:rPr>
          <w:rFonts w:ascii="Gotham" w:hAnsi="Gotham"/>
        </w:rPr>
        <w:t>se obtuvo</w:t>
      </w:r>
      <w:r w:rsidRPr="00320D16">
        <w:rPr>
          <w:rFonts w:ascii="Gotham" w:hAnsi="Gotham"/>
        </w:rPr>
        <w:t xml:space="preserve"> una suma considerable a pesar de las políticas restrictivas que ha implementado el gobierno de Estados Unidos y de la pandemia que se vive por el COVID-19.</w:t>
      </w:r>
    </w:p>
    <w:p w:rsidR="0041413F" w:rsidRPr="00320D16" w:rsidRDefault="0041413F" w:rsidP="00320D16">
      <w:pPr>
        <w:spacing w:line="360" w:lineRule="auto"/>
        <w:rPr>
          <w:rFonts w:ascii="Gotham" w:hAnsi="Gotham"/>
        </w:rPr>
      </w:pPr>
      <w:r w:rsidRPr="00320D16">
        <w:rPr>
          <w:rFonts w:ascii="Gotham" w:hAnsi="Gotham"/>
        </w:rPr>
        <w:t>De enero a septiembre de 2020, el crecimiento por remesas ascendió a 10.0 por ciento, respecto a igual periodo de año anterior, por lo que se recibieron durante los tres trimestres del año un ingreso de dos mil 725 millones de dólares.</w:t>
      </w:r>
    </w:p>
    <w:p w:rsidR="002F614D" w:rsidRDefault="0041413F" w:rsidP="002F614D">
      <w:pPr>
        <w:spacing w:line="360" w:lineRule="auto"/>
        <w:rPr>
          <w:rFonts w:ascii="Gotham" w:hAnsi="Gotham"/>
        </w:rPr>
      </w:pPr>
      <w:r w:rsidRPr="00320D16">
        <w:rPr>
          <w:rFonts w:ascii="Gotham" w:hAnsi="Gotham"/>
        </w:rPr>
        <w:t>Por otro lado, se prevé que los ingresos por remesas familiares registren un crecimiento continuo y sostenido de manera consistente con el crecimiento económico que se espera para EEUU.</w:t>
      </w:r>
    </w:p>
    <w:p w:rsidR="0041413F" w:rsidRPr="00320D16" w:rsidRDefault="0041413F" w:rsidP="002F614D">
      <w:pPr>
        <w:spacing w:after="16" w:line="360" w:lineRule="auto"/>
        <w:jc w:val="center"/>
        <w:rPr>
          <w:rFonts w:ascii="Gotham" w:hAnsi="Gotham" w:cs="Century Gothic"/>
          <w:color w:val="000000"/>
        </w:rPr>
      </w:pPr>
      <w:r w:rsidRPr="00320D16">
        <w:rPr>
          <w:rFonts w:ascii="Gotham" w:hAnsi="Gotham" w:cs="Century Gothic"/>
          <w:b/>
          <w:bCs/>
          <w:color w:val="000000"/>
        </w:rPr>
        <w:t>Grafica I.4</w:t>
      </w:r>
    </w:p>
    <w:p w:rsidR="0041413F" w:rsidRPr="00320D16" w:rsidRDefault="0041413F" w:rsidP="002F614D">
      <w:pPr>
        <w:autoSpaceDE w:val="0"/>
        <w:autoSpaceDN w:val="0"/>
        <w:adjustRightInd w:val="0"/>
        <w:spacing w:after="16" w:line="360" w:lineRule="auto"/>
        <w:jc w:val="center"/>
        <w:rPr>
          <w:rFonts w:ascii="Gotham" w:hAnsi="Gotham" w:cs="Century Gothic"/>
          <w:b/>
          <w:bCs/>
          <w:color w:val="000000"/>
        </w:rPr>
      </w:pPr>
      <w:r w:rsidRPr="00320D16">
        <w:rPr>
          <w:rFonts w:ascii="Gotham" w:hAnsi="Gotham" w:cs="Century Gothic"/>
          <w:b/>
          <w:bCs/>
          <w:color w:val="000000"/>
        </w:rPr>
        <w:t>Remesas</w:t>
      </w:r>
    </w:p>
    <w:p w:rsidR="0041413F" w:rsidRPr="00320D16" w:rsidRDefault="0041413F" w:rsidP="00320D16">
      <w:pPr>
        <w:autoSpaceDE w:val="0"/>
        <w:autoSpaceDN w:val="0"/>
        <w:adjustRightInd w:val="0"/>
        <w:spacing w:after="0" w:line="360" w:lineRule="auto"/>
        <w:jc w:val="center"/>
        <w:rPr>
          <w:rFonts w:ascii="Gotham" w:hAnsi="Gotham" w:cs="Century Gothic"/>
          <w:bCs/>
          <w:color w:val="000000"/>
        </w:rPr>
      </w:pPr>
      <w:r w:rsidRPr="00320D16">
        <w:rPr>
          <w:rFonts w:ascii="Gotham" w:hAnsi="Gotham" w:cs="Century Gothic"/>
          <w:bCs/>
          <w:color w:val="000000"/>
        </w:rPr>
        <w:t>(Millones de Dólares)</w:t>
      </w:r>
    </w:p>
    <w:p w:rsidR="0041413F" w:rsidRPr="00320D16" w:rsidRDefault="0041413F" w:rsidP="00320D16">
      <w:pPr>
        <w:spacing w:line="360" w:lineRule="auto"/>
        <w:jc w:val="center"/>
        <w:rPr>
          <w:rFonts w:ascii="Gotham" w:hAnsi="Gotham"/>
          <w:b/>
          <w:color w:val="000000"/>
          <w:lang w:eastAsia="es-MX"/>
        </w:rPr>
      </w:pPr>
      <w:r w:rsidRPr="00320D16">
        <w:rPr>
          <w:rFonts w:ascii="Gotham" w:hAnsi="Gotham"/>
          <w:noProof/>
          <w:lang w:eastAsia="es-MX"/>
        </w:rPr>
        <w:drawing>
          <wp:inline distT="0" distB="0" distL="0" distR="0" wp14:anchorId="7938AFB9" wp14:editId="0EBA4871">
            <wp:extent cx="4093845" cy="1571553"/>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607" b="7863"/>
                    <a:stretch/>
                  </pic:blipFill>
                  <pic:spPr bwMode="auto">
                    <a:xfrm>
                      <a:off x="0" y="0"/>
                      <a:ext cx="4112755" cy="1578812"/>
                    </a:xfrm>
                    <a:prstGeom prst="rect">
                      <a:avLst/>
                    </a:prstGeom>
                    <a:noFill/>
                    <a:ln>
                      <a:noFill/>
                    </a:ln>
                    <a:extLst>
                      <a:ext uri="{53640926-AAD7-44D8-BBD7-CCE9431645EC}">
                        <a14:shadowObscured xmlns:a14="http://schemas.microsoft.com/office/drawing/2010/main"/>
                      </a:ext>
                    </a:extLst>
                  </pic:spPr>
                </pic:pic>
              </a:graphicData>
            </a:graphic>
          </wp:inline>
        </w:drawing>
      </w:r>
    </w:p>
    <w:p w:rsidR="0041413F" w:rsidRPr="00320D16" w:rsidRDefault="0041413F" w:rsidP="00320D16">
      <w:pPr>
        <w:spacing w:line="360" w:lineRule="auto"/>
        <w:rPr>
          <w:rFonts w:ascii="Gotham" w:hAnsi="Gotham"/>
          <w:b/>
          <w:color w:val="000000"/>
          <w:lang w:eastAsia="es-MX"/>
        </w:rPr>
      </w:pPr>
      <w:r w:rsidRPr="00320D16">
        <w:rPr>
          <w:rFonts w:ascii="Gotham" w:hAnsi="Gotham"/>
          <w:b/>
          <w:color w:val="000000"/>
          <w:lang w:eastAsia="es-MX"/>
        </w:rPr>
        <w:lastRenderedPageBreak/>
        <w:t>I.2.5. Tipo de cambio</w:t>
      </w:r>
    </w:p>
    <w:p w:rsidR="0041413F" w:rsidRPr="00320D16" w:rsidRDefault="0041413F" w:rsidP="00320D16">
      <w:pPr>
        <w:spacing w:line="360" w:lineRule="auto"/>
        <w:rPr>
          <w:rFonts w:ascii="Gotham" w:hAnsi="Gotham"/>
        </w:rPr>
      </w:pPr>
      <w:r w:rsidRPr="00320D16">
        <w:rPr>
          <w:rFonts w:ascii="Gotham" w:hAnsi="Gotham"/>
        </w:rPr>
        <w:t xml:space="preserve">Ante un entorno mundial de suma volatilidad en los mercados financieros, el tipo de cambio del peso frente al dólar estadounidense ha tenido una ligera depreciación durante lo que va del año por el COVID-19, la incertidumbre </w:t>
      </w:r>
      <w:r w:rsidR="00484EB8" w:rsidRPr="00320D16">
        <w:rPr>
          <w:rFonts w:ascii="Gotham" w:hAnsi="Gotham"/>
        </w:rPr>
        <w:t xml:space="preserve">se reflejó </w:t>
      </w:r>
      <w:r w:rsidRPr="00320D16">
        <w:rPr>
          <w:rFonts w:ascii="Gotham" w:hAnsi="Gotham"/>
        </w:rPr>
        <w:t>en los meses más altos de la pandemia.</w:t>
      </w:r>
    </w:p>
    <w:p w:rsidR="0041413F" w:rsidRPr="00320D16" w:rsidRDefault="00484EB8" w:rsidP="00320D16">
      <w:pPr>
        <w:spacing w:line="360" w:lineRule="auto"/>
        <w:rPr>
          <w:rFonts w:ascii="Gotham" w:hAnsi="Gotham"/>
        </w:rPr>
      </w:pPr>
      <w:r w:rsidRPr="00320D16">
        <w:rPr>
          <w:rFonts w:ascii="Gotham" w:hAnsi="Gotham"/>
        </w:rPr>
        <w:t>El</w:t>
      </w:r>
      <w:r w:rsidR="0041413F" w:rsidRPr="00320D16">
        <w:rPr>
          <w:rFonts w:ascii="Gotham" w:hAnsi="Gotham"/>
        </w:rPr>
        <w:t xml:space="preserve"> tipo de cambio promedio al mes de noviembre de 2020 alcanzó los 21.63 pesos por dólar (</w:t>
      </w:r>
      <w:proofErr w:type="spellStart"/>
      <w:r w:rsidR="0041413F" w:rsidRPr="00320D16">
        <w:rPr>
          <w:rFonts w:ascii="Gotham" w:hAnsi="Gotham"/>
        </w:rPr>
        <w:t>ppd</w:t>
      </w:r>
      <w:proofErr w:type="spellEnd"/>
      <w:r w:rsidR="0041413F" w:rsidRPr="00320D16">
        <w:rPr>
          <w:rFonts w:ascii="Gotham" w:hAnsi="Gotham"/>
        </w:rPr>
        <w:t xml:space="preserve">), </w:t>
      </w:r>
      <w:r w:rsidR="00A04C43" w:rsidRPr="00320D16">
        <w:rPr>
          <w:rFonts w:ascii="Gotham" w:hAnsi="Gotham"/>
        </w:rPr>
        <w:t>reflejando una caída de</w:t>
      </w:r>
      <w:r w:rsidR="0041413F" w:rsidRPr="00320D16">
        <w:rPr>
          <w:rFonts w:ascii="Gotham" w:hAnsi="Gotham"/>
        </w:rPr>
        <w:t xml:space="preserve"> 12.26 por ciento, comparado </w:t>
      </w:r>
      <w:r w:rsidR="00A04C43" w:rsidRPr="00320D16">
        <w:rPr>
          <w:rFonts w:ascii="Gotham" w:hAnsi="Gotham"/>
        </w:rPr>
        <w:t xml:space="preserve">con </w:t>
      </w:r>
      <w:r w:rsidR="0041413F" w:rsidRPr="00320D16">
        <w:rPr>
          <w:rFonts w:ascii="Gotham" w:hAnsi="Gotham"/>
        </w:rPr>
        <w:t>igual periodo del año 2019 la moneda mexicana.</w:t>
      </w:r>
    </w:p>
    <w:p w:rsidR="00320D16" w:rsidRDefault="0041413F" w:rsidP="002F614D">
      <w:pPr>
        <w:spacing w:line="360" w:lineRule="auto"/>
        <w:rPr>
          <w:rFonts w:ascii="Gotham" w:hAnsi="Gotham" w:cs="Century Gothic"/>
          <w:b/>
          <w:bCs/>
          <w:color w:val="000000"/>
        </w:rPr>
      </w:pPr>
      <w:r w:rsidRPr="00320D16">
        <w:rPr>
          <w:rFonts w:ascii="Gotham" w:hAnsi="Gotham"/>
        </w:rPr>
        <w:t>En línea con las expectativas, y estabilidad de la política monetaria durante 2021; se espera un tipo de cambio promedio y de cierre para fin de año 2020 de 22.0 y 22.3 pesos por dólar respectivamente, consistente con la recuperación económica.</w:t>
      </w:r>
    </w:p>
    <w:p w:rsidR="0041413F" w:rsidRPr="00320D16" w:rsidRDefault="0041413F" w:rsidP="00320D16">
      <w:pPr>
        <w:autoSpaceDE w:val="0"/>
        <w:autoSpaceDN w:val="0"/>
        <w:adjustRightInd w:val="0"/>
        <w:spacing w:after="0" w:line="360" w:lineRule="auto"/>
        <w:jc w:val="center"/>
        <w:rPr>
          <w:rFonts w:ascii="Gotham" w:hAnsi="Gotham" w:cs="Century Gothic"/>
          <w:color w:val="000000"/>
        </w:rPr>
      </w:pPr>
      <w:r w:rsidRPr="00320D16">
        <w:rPr>
          <w:rFonts w:ascii="Gotham" w:hAnsi="Gotham" w:cs="Century Gothic"/>
          <w:b/>
          <w:bCs/>
          <w:color w:val="000000"/>
        </w:rPr>
        <w:t>Grafica I.5</w:t>
      </w:r>
    </w:p>
    <w:p w:rsidR="0041413F" w:rsidRPr="00320D16" w:rsidRDefault="0041413F" w:rsidP="00320D16">
      <w:pPr>
        <w:autoSpaceDE w:val="0"/>
        <w:autoSpaceDN w:val="0"/>
        <w:adjustRightInd w:val="0"/>
        <w:spacing w:after="0" w:line="360" w:lineRule="auto"/>
        <w:jc w:val="center"/>
        <w:rPr>
          <w:rFonts w:ascii="Gotham" w:hAnsi="Gotham" w:cs="Century Gothic"/>
          <w:b/>
          <w:bCs/>
          <w:color w:val="000000"/>
        </w:rPr>
      </w:pPr>
      <w:r w:rsidRPr="00320D16">
        <w:rPr>
          <w:rFonts w:ascii="Gotham" w:hAnsi="Gotham" w:cs="Century Gothic"/>
          <w:b/>
          <w:bCs/>
          <w:color w:val="000000"/>
        </w:rPr>
        <w:t xml:space="preserve">Tipo de Cambio Nominal </w:t>
      </w:r>
      <w:proofErr w:type="spellStart"/>
      <w:r w:rsidRPr="00320D16">
        <w:rPr>
          <w:rFonts w:ascii="Gotham" w:hAnsi="Gotham" w:cs="Century Gothic"/>
          <w:b/>
          <w:bCs/>
          <w:color w:val="000000"/>
        </w:rPr>
        <w:t>Fix</w:t>
      </w:r>
      <w:proofErr w:type="spellEnd"/>
    </w:p>
    <w:p w:rsidR="0041413F" w:rsidRPr="00320D16" w:rsidRDefault="0041413F" w:rsidP="00320D16">
      <w:pPr>
        <w:autoSpaceDE w:val="0"/>
        <w:autoSpaceDN w:val="0"/>
        <w:adjustRightInd w:val="0"/>
        <w:spacing w:after="0" w:line="360" w:lineRule="auto"/>
        <w:jc w:val="center"/>
        <w:rPr>
          <w:rFonts w:ascii="Gotham" w:hAnsi="Gotham" w:cs="Century Gothic"/>
          <w:bCs/>
          <w:color w:val="000000"/>
        </w:rPr>
      </w:pPr>
      <w:r w:rsidRPr="00320D16">
        <w:rPr>
          <w:rFonts w:ascii="Gotham" w:hAnsi="Gotham" w:cs="Century Gothic"/>
          <w:bCs/>
          <w:color w:val="000000"/>
        </w:rPr>
        <w:t>(Pesos por dólar, promedio mensual)</w:t>
      </w:r>
    </w:p>
    <w:p w:rsidR="0041413F" w:rsidRPr="00320D16" w:rsidRDefault="004A4DC3" w:rsidP="00320D16">
      <w:pPr>
        <w:autoSpaceDE w:val="0"/>
        <w:autoSpaceDN w:val="0"/>
        <w:adjustRightInd w:val="0"/>
        <w:spacing w:line="360" w:lineRule="auto"/>
        <w:jc w:val="center"/>
        <w:rPr>
          <w:rFonts w:ascii="Gotham" w:hAnsi="Gotham" w:cs="Century Gothic"/>
          <w:bCs/>
          <w:color w:val="000000"/>
        </w:rPr>
      </w:pPr>
      <w:r w:rsidRPr="00320D16">
        <w:rPr>
          <w:rFonts w:ascii="Gotham" w:hAnsi="Gotham"/>
          <w:noProof/>
          <w:lang w:eastAsia="es-MX"/>
        </w:rPr>
        <w:drawing>
          <wp:inline distT="0" distB="0" distL="0" distR="0" wp14:anchorId="636A187A" wp14:editId="7839FAC0">
            <wp:extent cx="4336991" cy="1714500"/>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49895" cy="1719601"/>
                    </a:xfrm>
                    <a:prstGeom prst="rect">
                      <a:avLst/>
                    </a:prstGeom>
                    <a:noFill/>
                    <a:ln>
                      <a:noFill/>
                    </a:ln>
                  </pic:spPr>
                </pic:pic>
              </a:graphicData>
            </a:graphic>
          </wp:inline>
        </w:drawing>
      </w:r>
    </w:p>
    <w:p w:rsidR="0041413F" w:rsidRPr="00320D16" w:rsidRDefault="0041413F" w:rsidP="00320D16">
      <w:pPr>
        <w:spacing w:line="360" w:lineRule="auto"/>
        <w:rPr>
          <w:rFonts w:ascii="Gotham" w:hAnsi="Gotham"/>
          <w:b/>
          <w:color w:val="000000"/>
          <w:lang w:eastAsia="es-MX"/>
        </w:rPr>
      </w:pPr>
      <w:r w:rsidRPr="00320D16">
        <w:rPr>
          <w:rFonts w:ascii="Gotham" w:hAnsi="Gotham"/>
          <w:b/>
          <w:color w:val="000000"/>
          <w:lang w:eastAsia="es-MX"/>
        </w:rPr>
        <w:t>I.2.6. Producción y Precio del Petróleo</w:t>
      </w:r>
    </w:p>
    <w:p w:rsidR="0041413F" w:rsidRPr="00320D16" w:rsidRDefault="0041413F" w:rsidP="00320D16">
      <w:pPr>
        <w:spacing w:line="360" w:lineRule="auto"/>
        <w:rPr>
          <w:rFonts w:ascii="Gotham" w:hAnsi="Gotham"/>
        </w:rPr>
      </w:pPr>
      <w:r w:rsidRPr="00320D16">
        <w:rPr>
          <w:rFonts w:ascii="Gotham" w:hAnsi="Gotham"/>
        </w:rPr>
        <w:t xml:space="preserve">Con base a datos de indicadores de Petróleos Mexicanos (PEMEX), entre enero y </w:t>
      </w:r>
      <w:r w:rsidR="00DC16E6" w:rsidRPr="00320D16">
        <w:rPr>
          <w:rFonts w:ascii="Gotham" w:hAnsi="Gotham"/>
        </w:rPr>
        <w:t>octu</w:t>
      </w:r>
      <w:r w:rsidRPr="00320D16">
        <w:rPr>
          <w:rFonts w:ascii="Gotham" w:hAnsi="Gotham"/>
        </w:rPr>
        <w:t>bre de 2020 la plataforma de producción promedio nacional se ubicó en Un millón 66</w:t>
      </w:r>
      <w:r w:rsidR="00DC16E6" w:rsidRPr="00320D16">
        <w:rPr>
          <w:rFonts w:ascii="Gotham" w:hAnsi="Gotham"/>
        </w:rPr>
        <w:t>4</w:t>
      </w:r>
      <w:r w:rsidRPr="00320D16">
        <w:rPr>
          <w:rFonts w:ascii="Gotham" w:hAnsi="Gotham"/>
        </w:rPr>
        <w:t xml:space="preserve"> mil barriles diarios, prácticamente en línea con la previsión mencionada.</w:t>
      </w:r>
    </w:p>
    <w:p w:rsidR="0041413F" w:rsidRDefault="0041413F" w:rsidP="00320D16">
      <w:pPr>
        <w:spacing w:line="360" w:lineRule="auto"/>
        <w:rPr>
          <w:rFonts w:ascii="Gotham" w:hAnsi="Gotham"/>
        </w:rPr>
      </w:pPr>
      <w:r w:rsidRPr="00320D16">
        <w:rPr>
          <w:rFonts w:ascii="Gotham" w:hAnsi="Gotham"/>
        </w:rPr>
        <w:t xml:space="preserve">Asimismo, en los CGPE </w:t>
      </w:r>
      <w:r w:rsidR="008B2567" w:rsidRPr="00320D16">
        <w:rPr>
          <w:rFonts w:ascii="Gotham" w:hAnsi="Gotham"/>
        </w:rPr>
        <w:t>para</w:t>
      </w:r>
      <w:r w:rsidRPr="00320D16">
        <w:rPr>
          <w:rFonts w:ascii="Gotham" w:hAnsi="Gotham"/>
        </w:rPr>
        <w:t xml:space="preserve"> 2021 se estim</w:t>
      </w:r>
      <w:r w:rsidR="008B2567" w:rsidRPr="00320D16">
        <w:rPr>
          <w:rFonts w:ascii="Gotham" w:hAnsi="Gotham"/>
        </w:rPr>
        <w:t>a</w:t>
      </w:r>
      <w:r w:rsidRPr="00320D16">
        <w:rPr>
          <w:rFonts w:ascii="Gotham" w:hAnsi="Gotham"/>
        </w:rPr>
        <w:t xml:space="preserve"> una plataforma de producción equivalente a 1,744 </w:t>
      </w:r>
      <w:proofErr w:type="spellStart"/>
      <w:r w:rsidRPr="00320D16">
        <w:rPr>
          <w:rFonts w:ascii="Gotham" w:hAnsi="Gotham"/>
        </w:rPr>
        <w:t>mbd</w:t>
      </w:r>
      <w:proofErr w:type="spellEnd"/>
      <w:r w:rsidRPr="00320D16">
        <w:rPr>
          <w:rFonts w:ascii="Gotham" w:hAnsi="Gotham"/>
        </w:rPr>
        <w:t xml:space="preserve">, para cierre del año 2020 por debajo de lo aprobado en </w:t>
      </w:r>
      <w:r w:rsidR="00A04C43" w:rsidRPr="00320D16">
        <w:rPr>
          <w:rFonts w:ascii="Gotham" w:hAnsi="Gotham"/>
        </w:rPr>
        <w:t xml:space="preserve">los </w:t>
      </w:r>
      <w:r w:rsidRPr="00320D16">
        <w:rPr>
          <w:rFonts w:ascii="Gotham" w:hAnsi="Gotham"/>
        </w:rPr>
        <w:t xml:space="preserve">CGPE-20 en un 11.0 por ciento. </w:t>
      </w:r>
    </w:p>
    <w:p w:rsidR="00320D16" w:rsidRDefault="00320D16" w:rsidP="00320D16">
      <w:pPr>
        <w:spacing w:line="360" w:lineRule="auto"/>
        <w:rPr>
          <w:rFonts w:ascii="Gotham" w:hAnsi="Gotham"/>
        </w:rPr>
      </w:pPr>
    </w:p>
    <w:p w:rsidR="002F614D" w:rsidRPr="00320D16" w:rsidRDefault="002F614D" w:rsidP="00320D16">
      <w:pPr>
        <w:spacing w:line="360" w:lineRule="auto"/>
        <w:rPr>
          <w:rFonts w:ascii="Gotham" w:hAnsi="Gotham"/>
        </w:rPr>
      </w:pPr>
    </w:p>
    <w:p w:rsidR="0041413F" w:rsidRPr="00320D16" w:rsidRDefault="0041413F" w:rsidP="00320D16">
      <w:pPr>
        <w:autoSpaceDE w:val="0"/>
        <w:autoSpaceDN w:val="0"/>
        <w:adjustRightInd w:val="0"/>
        <w:spacing w:after="0" w:line="360" w:lineRule="auto"/>
        <w:jc w:val="center"/>
        <w:rPr>
          <w:rFonts w:ascii="Gotham" w:hAnsi="Gotham" w:cs="Century Gothic"/>
          <w:b/>
          <w:bCs/>
          <w:color w:val="000000"/>
        </w:rPr>
      </w:pPr>
      <w:r w:rsidRPr="00320D16">
        <w:rPr>
          <w:rFonts w:ascii="Gotham" w:hAnsi="Gotham" w:cs="Century Gothic"/>
          <w:b/>
          <w:bCs/>
          <w:color w:val="000000"/>
        </w:rPr>
        <w:lastRenderedPageBreak/>
        <w:t>Grafica I.6</w:t>
      </w:r>
    </w:p>
    <w:p w:rsidR="0041413F" w:rsidRPr="00320D16" w:rsidRDefault="0041413F" w:rsidP="00320D16">
      <w:pPr>
        <w:autoSpaceDE w:val="0"/>
        <w:autoSpaceDN w:val="0"/>
        <w:adjustRightInd w:val="0"/>
        <w:spacing w:after="0" w:line="360" w:lineRule="auto"/>
        <w:jc w:val="center"/>
        <w:rPr>
          <w:rFonts w:ascii="Gotham" w:hAnsi="Gotham" w:cs="Century Gothic"/>
          <w:b/>
          <w:bCs/>
          <w:color w:val="000000"/>
        </w:rPr>
      </w:pPr>
      <w:r w:rsidRPr="00320D16">
        <w:rPr>
          <w:rFonts w:ascii="Gotham" w:hAnsi="Gotham" w:cs="Century Gothic"/>
          <w:b/>
          <w:bCs/>
          <w:color w:val="000000"/>
        </w:rPr>
        <w:t>Evolución de la Producción de Petróleo</w:t>
      </w:r>
    </w:p>
    <w:p w:rsidR="0041413F" w:rsidRPr="00320D16" w:rsidRDefault="0041413F" w:rsidP="00320D16">
      <w:pPr>
        <w:spacing w:after="0" w:line="360" w:lineRule="auto"/>
        <w:jc w:val="center"/>
        <w:rPr>
          <w:rFonts w:ascii="Gotham" w:hAnsi="Gotham" w:cs="Century Gothic"/>
          <w:bCs/>
          <w:color w:val="000000"/>
        </w:rPr>
      </w:pPr>
      <w:r w:rsidRPr="00320D16">
        <w:rPr>
          <w:rFonts w:ascii="Gotham" w:hAnsi="Gotham" w:cs="Century Gothic"/>
          <w:bCs/>
          <w:color w:val="000000"/>
        </w:rPr>
        <w:t>(Miles de barriles diarios)</w:t>
      </w:r>
    </w:p>
    <w:p w:rsidR="0041413F" w:rsidRPr="00320D16" w:rsidRDefault="00C30BD9" w:rsidP="00320D16">
      <w:pPr>
        <w:autoSpaceDE w:val="0"/>
        <w:autoSpaceDN w:val="0"/>
        <w:adjustRightInd w:val="0"/>
        <w:spacing w:line="360" w:lineRule="auto"/>
        <w:jc w:val="center"/>
        <w:rPr>
          <w:rFonts w:ascii="Gotham" w:hAnsi="Gotham"/>
          <w:noProof/>
          <w:lang w:eastAsia="es-MX"/>
        </w:rPr>
      </w:pPr>
      <w:r w:rsidRPr="00320D16">
        <w:rPr>
          <w:rFonts w:ascii="Gotham" w:hAnsi="Gotham"/>
          <w:noProof/>
          <w:lang w:eastAsia="es-MX"/>
        </w:rPr>
        <w:drawing>
          <wp:inline distT="0" distB="0" distL="0" distR="0" wp14:anchorId="7A213BAA" wp14:editId="67FAEBBB">
            <wp:extent cx="4752975" cy="2049681"/>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54613" cy="2050388"/>
                    </a:xfrm>
                    <a:prstGeom prst="rect">
                      <a:avLst/>
                    </a:prstGeom>
                    <a:noFill/>
                    <a:ln>
                      <a:noFill/>
                    </a:ln>
                  </pic:spPr>
                </pic:pic>
              </a:graphicData>
            </a:graphic>
          </wp:inline>
        </w:drawing>
      </w:r>
    </w:p>
    <w:p w:rsidR="0041413F" w:rsidRPr="00320D16" w:rsidRDefault="008B2567" w:rsidP="00320D16">
      <w:pPr>
        <w:spacing w:line="360" w:lineRule="auto"/>
        <w:rPr>
          <w:rFonts w:ascii="Gotham" w:hAnsi="Gotham"/>
        </w:rPr>
      </w:pPr>
      <w:r w:rsidRPr="00320D16">
        <w:rPr>
          <w:rFonts w:ascii="Gotham" w:hAnsi="Gotham"/>
        </w:rPr>
        <w:t>Con relación a</w:t>
      </w:r>
      <w:r w:rsidR="0041413F" w:rsidRPr="00320D16">
        <w:rPr>
          <w:rFonts w:ascii="Gotham" w:hAnsi="Gotham"/>
        </w:rPr>
        <w:t xml:space="preserve">l precio de la mezcla mexicana al mes de </w:t>
      </w:r>
      <w:r w:rsidR="00DC16E6" w:rsidRPr="00320D16">
        <w:rPr>
          <w:rFonts w:ascii="Gotham" w:hAnsi="Gotham"/>
        </w:rPr>
        <w:t>octu</w:t>
      </w:r>
      <w:r w:rsidR="0041413F" w:rsidRPr="00320D16">
        <w:rPr>
          <w:rFonts w:ascii="Gotham" w:hAnsi="Gotham"/>
        </w:rPr>
        <w:t>bre</w:t>
      </w:r>
      <w:r w:rsidR="00A04C43" w:rsidRPr="00320D16">
        <w:rPr>
          <w:rFonts w:ascii="Gotham" w:hAnsi="Gotham"/>
        </w:rPr>
        <w:t xml:space="preserve"> del 2020</w:t>
      </w:r>
      <w:r w:rsidR="0041413F" w:rsidRPr="00320D16">
        <w:rPr>
          <w:rFonts w:ascii="Gotham" w:hAnsi="Gotham"/>
        </w:rPr>
        <w:t xml:space="preserve">, el precio promedio de la mezcla mexicana de exportación fue de </w:t>
      </w:r>
      <w:r w:rsidR="00612147" w:rsidRPr="00320D16">
        <w:rPr>
          <w:rFonts w:ascii="Gotham" w:hAnsi="Gotham"/>
        </w:rPr>
        <w:t>36.75</w:t>
      </w:r>
      <w:r w:rsidR="0041413F" w:rsidRPr="00320D16">
        <w:rPr>
          <w:rFonts w:ascii="Gotham" w:hAnsi="Gotham"/>
        </w:rPr>
        <w:t xml:space="preserve"> dpb, que comparada con igual mes de</w:t>
      </w:r>
      <w:r w:rsidR="00A04C43" w:rsidRPr="00320D16">
        <w:rPr>
          <w:rFonts w:ascii="Gotham" w:hAnsi="Gotham"/>
        </w:rPr>
        <w:t>l</w:t>
      </w:r>
      <w:r w:rsidR="0041413F" w:rsidRPr="00320D16">
        <w:rPr>
          <w:rFonts w:ascii="Gotham" w:hAnsi="Gotham"/>
        </w:rPr>
        <w:t xml:space="preserve"> año anterior se ubicó en </w:t>
      </w:r>
      <w:r w:rsidR="00612147" w:rsidRPr="00320D16">
        <w:rPr>
          <w:rFonts w:ascii="Gotham" w:hAnsi="Gotham"/>
        </w:rPr>
        <w:t>50.6</w:t>
      </w:r>
      <w:r w:rsidR="0041413F" w:rsidRPr="00320D16">
        <w:rPr>
          <w:rFonts w:ascii="Gotham" w:hAnsi="Gotham"/>
        </w:rPr>
        <w:t>0 dpb, lo cual demuestra que el precio de la mezcla bajo considerablemente</w:t>
      </w:r>
      <w:r w:rsidR="00612147" w:rsidRPr="00320D16">
        <w:rPr>
          <w:rFonts w:ascii="Gotham" w:hAnsi="Gotham"/>
        </w:rPr>
        <w:t xml:space="preserve"> su precio</w:t>
      </w:r>
      <w:r w:rsidR="0041413F" w:rsidRPr="00320D16">
        <w:rPr>
          <w:rFonts w:ascii="Gotham" w:hAnsi="Gotham"/>
        </w:rPr>
        <w:t xml:space="preserve"> en un </w:t>
      </w:r>
      <w:r w:rsidR="00612147" w:rsidRPr="00320D16">
        <w:rPr>
          <w:rFonts w:ascii="Gotham" w:hAnsi="Gotham"/>
        </w:rPr>
        <w:t>27.4</w:t>
      </w:r>
      <w:r w:rsidR="0041413F" w:rsidRPr="00320D16">
        <w:rPr>
          <w:rFonts w:ascii="Gotham" w:hAnsi="Gotham"/>
        </w:rPr>
        <w:t xml:space="preserve"> por ciento más.</w:t>
      </w:r>
    </w:p>
    <w:p w:rsidR="0041413F" w:rsidRPr="00320D16" w:rsidRDefault="0041413F" w:rsidP="00320D16">
      <w:pPr>
        <w:spacing w:line="360" w:lineRule="auto"/>
        <w:rPr>
          <w:rFonts w:ascii="Gotham" w:hAnsi="Gotham"/>
        </w:rPr>
      </w:pPr>
      <w:r w:rsidRPr="00320D16">
        <w:rPr>
          <w:rFonts w:ascii="Gotham" w:hAnsi="Gotham"/>
        </w:rPr>
        <w:t xml:space="preserve">Los CGPE-21 estiman un precio promedio de 34.6 dólares por barril (dpb) para el </w:t>
      </w:r>
      <w:r w:rsidR="00A04C43" w:rsidRPr="00320D16">
        <w:rPr>
          <w:rFonts w:ascii="Gotham" w:hAnsi="Gotham"/>
        </w:rPr>
        <w:t xml:space="preserve">cierre </w:t>
      </w:r>
      <w:r w:rsidRPr="00320D16">
        <w:rPr>
          <w:rFonts w:ascii="Gotham" w:hAnsi="Gotham"/>
        </w:rPr>
        <w:t>2020, cifra menor en 29.4 por ciento a lo aprobado en CGPE-20 (49 dpb) para ese año.</w:t>
      </w:r>
    </w:p>
    <w:p w:rsidR="0041413F" w:rsidRPr="00320D16" w:rsidRDefault="0041413F" w:rsidP="00320D16">
      <w:pPr>
        <w:tabs>
          <w:tab w:val="left" w:pos="3720"/>
          <w:tab w:val="center" w:pos="4419"/>
        </w:tabs>
        <w:autoSpaceDE w:val="0"/>
        <w:autoSpaceDN w:val="0"/>
        <w:adjustRightInd w:val="0"/>
        <w:spacing w:after="0" w:line="360" w:lineRule="auto"/>
        <w:rPr>
          <w:rFonts w:ascii="Gotham" w:hAnsi="Gotham" w:cs="Century Gothic"/>
          <w:b/>
          <w:bCs/>
          <w:color w:val="000000"/>
        </w:rPr>
      </w:pPr>
      <w:r w:rsidRPr="00320D16">
        <w:rPr>
          <w:rFonts w:ascii="Gotham" w:hAnsi="Gotham" w:cs="Century Gothic"/>
          <w:b/>
          <w:bCs/>
          <w:color w:val="000000"/>
        </w:rPr>
        <w:tab/>
        <w:t>Grafica I.7</w:t>
      </w:r>
    </w:p>
    <w:p w:rsidR="0041413F" w:rsidRPr="00320D16" w:rsidRDefault="0041413F" w:rsidP="00320D16">
      <w:pPr>
        <w:autoSpaceDE w:val="0"/>
        <w:autoSpaceDN w:val="0"/>
        <w:adjustRightInd w:val="0"/>
        <w:spacing w:after="0" w:line="360" w:lineRule="auto"/>
        <w:jc w:val="center"/>
        <w:rPr>
          <w:rFonts w:ascii="Gotham" w:hAnsi="Gotham" w:cs="Century Gothic"/>
          <w:b/>
          <w:bCs/>
          <w:color w:val="000000"/>
        </w:rPr>
      </w:pPr>
      <w:r w:rsidRPr="00320D16">
        <w:rPr>
          <w:rFonts w:ascii="Gotham" w:hAnsi="Gotham" w:cs="Century Gothic"/>
          <w:b/>
          <w:bCs/>
          <w:color w:val="000000"/>
        </w:rPr>
        <w:t xml:space="preserve">Precio de la Mezcla Mexicana de Exportación </w:t>
      </w:r>
    </w:p>
    <w:p w:rsidR="0041413F" w:rsidRPr="00320D16" w:rsidRDefault="0041413F" w:rsidP="00320D16">
      <w:pPr>
        <w:spacing w:after="0" w:line="360" w:lineRule="auto"/>
        <w:jc w:val="center"/>
        <w:rPr>
          <w:rFonts w:ascii="Gotham" w:hAnsi="Gotham" w:cs="Century Gothic"/>
          <w:bCs/>
          <w:color w:val="000000"/>
        </w:rPr>
      </w:pPr>
      <w:r w:rsidRPr="00320D16">
        <w:rPr>
          <w:rFonts w:ascii="Gotham" w:hAnsi="Gotham" w:cs="Century Gothic"/>
          <w:bCs/>
          <w:color w:val="000000"/>
        </w:rPr>
        <w:t>(Dólares por barril)</w:t>
      </w:r>
    </w:p>
    <w:p w:rsidR="0041413F" w:rsidRPr="00320D16" w:rsidRDefault="00DC16E6" w:rsidP="00320D16">
      <w:pPr>
        <w:spacing w:line="360" w:lineRule="auto"/>
        <w:jc w:val="center"/>
        <w:rPr>
          <w:rFonts w:ascii="Gotham" w:hAnsi="Gotham"/>
          <w:b/>
        </w:rPr>
      </w:pPr>
      <w:r w:rsidRPr="00320D16">
        <w:rPr>
          <w:rFonts w:ascii="Gotham" w:hAnsi="Gotham"/>
          <w:noProof/>
          <w:lang w:eastAsia="es-MX"/>
        </w:rPr>
        <w:drawing>
          <wp:inline distT="0" distB="0" distL="0" distR="0" wp14:anchorId="51866566" wp14:editId="2BECD5D8">
            <wp:extent cx="5019675" cy="1997508"/>
            <wp:effectExtent l="0" t="0" r="0"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9623" cy="2001467"/>
                    </a:xfrm>
                    <a:prstGeom prst="rect">
                      <a:avLst/>
                    </a:prstGeom>
                    <a:noFill/>
                    <a:ln>
                      <a:noFill/>
                    </a:ln>
                  </pic:spPr>
                </pic:pic>
              </a:graphicData>
            </a:graphic>
          </wp:inline>
        </w:drawing>
      </w:r>
    </w:p>
    <w:p w:rsidR="0041413F" w:rsidRDefault="0041413F" w:rsidP="00320D16">
      <w:pPr>
        <w:spacing w:line="360" w:lineRule="auto"/>
        <w:jc w:val="center"/>
        <w:rPr>
          <w:rFonts w:ascii="Gotham" w:hAnsi="Gotham" w:cs="Century Gothic"/>
          <w:bCs/>
          <w:color w:val="000000"/>
        </w:rPr>
      </w:pPr>
    </w:p>
    <w:p w:rsidR="002F614D" w:rsidRPr="00320D16" w:rsidRDefault="002F614D" w:rsidP="00320D16">
      <w:pPr>
        <w:spacing w:line="360" w:lineRule="auto"/>
        <w:jc w:val="center"/>
        <w:rPr>
          <w:rFonts w:ascii="Gotham" w:hAnsi="Gotham" w:cs="Century Gothic"/>
          <w:bCs/>
          <w:color w:val="000000"/>
        </w:rPr>
      </w:pPr>
    </w:p>
    <w:p w:rsidR="0041413F" w:rsidRPr="00320D16" w:rsidRDefault="0041413F" w:rsidP="00320D16">
      <w:pPr>
        <w:spacing w:line="360" w:lineRule="auto"/>
        <w:rPr>
          <w:rFonts w:ascii="Gotham" w:hAnsi="Gotham"/>
          <w:b/>
          <w:color w:val="000000"/>
          <w:lang w:eastAsia="es-MX"/>
        </w:rPr>
      </w:pPr>
      <w:r w:rsidRPr="00320D16">
        <w:rPr>
          <w:rFonts w:ascii="Gotham" w:hAnsi="Gotham"/>
          <w:b/>
          <w:color w:val="000000"/>
          <w:lang w:eastAsia="es-MX"/>
        </w:rPr>
        <w:lastRenderedPageBreak/>
        <w:t>I.2.7 Marco macroeconómico, 2020-2021</w:t>
      </w:r>
    </w:p>
    <w:p w:rsidR="0041413F" w:rsidRPr="00320D16" w:rsidRDefault="0041413F" w:rsidP="00320D16">
      <w:pPr>
        <w:spacing w:line="360" w:lineRule="auto"/>
        <w:rPr>
          <w:rFonts w:ascii="Gotham" w:hAnsi="Gotham"/>
        </w:rPr>
      </w:pPr>
      <w:r w:rsidRPr="00320D16">
        <w:rPr>
          <w:rFonts w:ascii="Gotham" w:hAnsi="Gotham"/>
        </w:rPr>
        <w:t>Para 2021, se part</w:t>
      </w:r>
      <w:r w:rsidR="00112BC3" w:rsidRPr="00320D16">
        <w:rPr>
          <w:rFonts w:ascii="Gotham" w:hAnsi="Gotham"/>
        </w:rPr>
        <w:t>irá</w:t>
      </w:r>
      <w:r w:rsidRPr="00320D16">
        <w:rPr>
          <w:rFonts w:ascii="Gotham" w:hAnsi="Gotham"/>
        </w:rPr>
        <w:t xml:space="preserve"> de un Marco Macroeconómico prudente, considerando la evolución de las variables económicas y la incertidumbre que prevalece tras el impacto de la pandemia del COVID</w:t>
      </w:r>
      <w:r w:rsidR="00112BC3" w:rsidRPr="00320D16">
        <w:rPr>
          <w:rFonts w:ascii="Gotham" w:hAnsi="Gotham"/>
        </w:rPr>
        <w:t>-</w:t>
      </w:r>
      <w:r w:rsidRPr="00320D16">
        <w:rPr>
          <w:rFonts w:ascii="Gotham" w:hAnsi="Gotham"/>
        </w:rPr>
        <w:t xml:space="preserve">19. De esa forma, se estima que continuará la reactivación económica iniciada en la segunda parte de 2020; se prevé que la contención de la pandemia en México y en el exterior permita la remoción paulatina de las medidas de confinamiento, una mayor utilización de la capacidad productiva instalada, que el T-MEC potencie a los sectores integrados a la economía global y la inversión estratégica; que la inversión pública y privada en infraestructura impulsen la generación de empleo y el derrame económico sobre otros sectores; en tanto que el sector financiero apoye el flujo de recursos hacia hogares, empresas y proyectos productivos, apoyados por la política monetaria acomodaticia que se lleva a cabo tanto en México como en el exterior. </w:t>
      </w:r>
    </w:p>
    <w:p w:rsidR="0041413F" w:rsidRPr="00320D16" w:rsidRDefault="0041413F" w:rsidP="00320D16">
      <w:pPr>
        <w:spacing w:line="360" w:lineRule="auto"/>
        <w:rPr>
          <w:rFonts w:ascii="Gotham" w:hAnsi="Gotham"/>
        </w:rPr>
      </w:pPr>
      <w:r w:rsidRPr="00320D16">
        <w:rPr>
          <w:rFonts w:ascii="Gotham" w:hAnsi="Gotham"/>
        </w:rPr>
        <w:t xml:space="preserve">Sin embargo, hay un balance de riesgos que se pudiera dar como: una reactivación económica interna más lenta que lo previsto, una mayor ralentización de la recuperación productiva de Estados Unidos, ante la incertidumbre generada por su proceso electoral, el riesgo de un escalamiento de los conflictos geopolíticos y comerciales a nivel mundial, que a su vez podrían afectar los flujos de capitales, la productividad y el crecimiento económico global. </w:t>
      </w:r>
    </w:p>
    <w:p w:rsidR="0041413F" w:rsidRPr="00320D16" w:rsidRDefault="0041413F" w:rsidP="00320D16">
      <w:pPr>
        <w:spacing w:line="360" w:lineRule="auto"/>
        <w:rPr>
          <w:rFonts w:ascii="Gotham" w:hAnsi="Gotham"/>
        </w:rPr>
      </w:pPr>
      <w:r w:rsidRPr="00320D16">
        <w:rPr>
          <w:rFonts w:ascii="Gotham" w:hAnsi="Gotham"/>
        </w:rPr>
        <w:t xml:space="preserve">Con base en lo anterior, las estimaciones de las principales variables macroeconómicas se resumen a continuación: </w:t>
      </w:r>
    </w:p>
    <w:p w:rsidR="0041413F" w:rsidRPr="00320D16" w:rsidRDefault="0041413F" w:rsidP="00320D16">
      <w:pPr>
        <w:spacing w:line="360" w:lineRule="auto"/>
        <w:rPr>
          <w:rFonts w:ascii="Gotham" w:hAnsi="Gotham"/>
        </w:rPr>
      </w:pPr>
      <w:r w:rsidRPr="00320D16">
        <w:rPr>
          <w:rFonts w:ascii="Gotham" w:hAnsi="Gotham"/>
          <w:b/>
        </w:rPr>
        <w:t>Crecimiento económico de México</w:t>
      </w:r>
      <w:r w:rsidRPr="00320D16">
        <w:rPr>
          <w:rFonts w:ascii="Gotham" w:hAnsi="Gotham"/>
        </w:rPr>
        <w:t xml:space="preserve">. Los CGPE-2021 estiman que la actividad productiva repunte para 2021, proyectando un rango de crecimiento de 4.6 por ciento, para estimaciones de finanzas públicas) conforme los sectores productivos se adaptan al nuevo entorno y acorde al levantamiento del confinamiento en la medida que se vaya conteniendo la pandemia. </w:t>
      </w:r>
    </w:p>
    <w:p w:rsidR="0041413F" w:rsidRPr="00320D16" w:rsidRDefault="0041413F" w:rsidP="00320D16">
      <w:pPr>
        <w:spacing w:line="360" w:lineRule="auto"/>
        <w:rPr>
          <w:rFonts w:ascii="Gotham" w:hAnsi="Gotham"/>
        </w:rPr>
      </w:pPr>
      <w:r w:rsidRPr="00320D16">
        <w:rPr>
          <w:rFonts w:ascii="Gotham" w:hAnsi="Gotham"/>
          <w:b/>
        </w:rPr>
        <w:t>Inflación.</w:t>
      </w:r>
      <w:r w:rsidRPr="00320D16">
        <w:rPr>
          <w:rFonts w:ascii="Gotham" w:hAnsi="Gotham"/>
        </w:rPr>
        <w:t xml:space="preserve"> Se plantea que el nivel de la inflación guarde una tendencia descendente y sea de 3.0 por ciento, consistente con el objetivo inflacionario establecido por el Banco Central y dentro del intervalo de variabilidad (2.0 – 4.0 por ciento).</w:t>
      </w:r>
    </w:p>
    <w:p w:rsidR="0041413F" w:rsidRPr="00320D16" w:rsidRDefault="0041413F" w:rsidP="00320D16">
      <w:pPr>
        <w:spacing w:line="360" w:lineRule="auto"/>
        <w:rPr>
          <w:rFonts w:ascii="Gotham" w:hAnsi="Gotham"/>
        </w:rPr>
      </w:pPr>
      <w:r w:rsidRPr="00320D16">
        <w:rPr>
          <w:rFonts w:ascii="Gotham" w:hAnsi="Gotham"/>
          <w:b/>
        </w:rPr>
        <w:t>Tipo de cambio.</w:t>
      </w:r>
      <w:r w:rsidRPr="00320D16">
        <w:rPr>
          <w:rFonts w:ascii="Gotham" w:hAnsi="Gotham"/>
        </w:rPr>
        <w:t xml:space="preserve"> Se estima que, para el cierre del siguiente año, el peso tendrá una ligera depreciación para cotizar en 21.90 pesos por dólar (</w:t>
      </w:r>
      <w:proofErr w:type="spellStart"/>
      <w:r w:rsidRPr="00320D16">
        <w:rPr>
          <w:rFonts w:ascii="Gotham" w:hAnsi="Gotham"/>
        </w:rPr>
        <w:t>pdd</w:t>
      </w:r>
      <w:proofErr w:type="spellEnd"/>
      <w:r w:rsidRPr="00320D16">
        <w:rPr>
          <w:rFonts w:ascii="Gotham" w:hAnsi="Gotham"/>
        </w:rPr>
        <w:t xml:space="preserve">) y alcanzar un promedio de 22.10 </w:t>
      </w:r>
      <w:proofErr w:type="spellStart"/>
      <w:r w:rsidRPr="00320D16">
        <w:rPr>
          <w:rFonts w:ascii="Gotham" w:hAnsi="Gotham"/>
        </w:rPr>
        <w:t>ppd</w:t>
      </w:r>
      <w:proofErr w:type="spellEnd"/>
      <w:r w:rsidRPr="00320D16">
        <w:rPr>
          <w:rFonts w:ascii="Gotham" w:hAnsi="Gotham"/>
        </w:rPr>
        <w:t xml:space="preserve">. La proyección para el siguiente año podría verse </w:t>
      </w:r>
      <w:r w:rsidRPr="00320D16">
        <w:rPr>
          <w:rFonts w:ascii="Gotham" w:hAnsi="Gotham"/>
        </w:rPr>
        <w:lastRenderedPageBreak/>
        <w:t xml:space="preserve">afectada por una mayor volatilidad en los mercados financieros globales; así como, por la materialización de diversos riesgos a la baja, tales como la continuación de las disrupciones en las cadenas globales de producción, causadas por la pandemia del COVID-19; la interrupción de los flujos de capital y una mayor desaceleración de la actividad económica mundial. </w:t>
      </w:r>
    </w:p>
    <w:p w:rsidR="0041413F" w:rsidRPr="00320D16" w:rsidRDefault="0041413F" w:rsidP="00320D16">
      <w:pPr>
        <w:spacing w:line="360" w:lineRule="auto"/>
        <w:rPr>
          <w:rFonts w:ascii="Gotham" w:hAnsi="Gotham"/>
        </w:rPr>
      </w:pPr>
      <w:r w:rsidRPr="00320D16">
        <w:rPr>
          <w:rFonts w:ascii="Gotham" w:hAnsi="Gotham"/>
          <w:b/>
        </w:rPr>
        <w:t>Tasa de interés (Cetes a 28 días).</w:t>
      </w:r>
      <w:r w:rsidRPr="00320D16">
        <w:rPr>
          <w:rFonts w:ascii="Gotham" w:hAnsi="Gotham"/>
        </w:rPr>
        <w:t xml:space="preserve"> Se prevé una tasa de interés nominal, tanto para el cierre como promedio para 2021, de 4.0 por ciento. Cabe señalar que, la revisión a la baja en la tasa de interés se da dentro del contexto de disminución en la tasa de interés objetivo, al pasar de 7.25 a 4.50 por ciento, del cierre de 2019 a final de agosto de 2020, en línea con la postura acomodaticia de diversos bancos centrales. </w:t>
      </w:r>
    </w:p>
    <w:p w:rsidR="0041413F" w:rsidRPr="00320D16" w:rsidRDefault="0041413F" w:rsidP="00320D16">
      <w:pPr>
        <w:spacing w:line="360" w:lineRule="auto"/>
        <w:rPr>
          <w:rFonts w:ascii="Gotham" w:hAnsi="Gotham"/>
        </w:rPr>
      </w:pPr>
      <w:r w:rsidRPr="00320D16">
        <w:rPr>
          <w:rFonts w:ascii="Gotham" w:hAnsi="Gotham"/>
          <w:b/>
        </w:rPr>
        <w:t>Precio del Petróleo.</w:t>
      </w:r>
      <w:r w:rsidRPr="00320D16">
        <w:rPr>
          <w:rFonts w:ascii="Gotham" w:hAnsi="Gotham"/>
        </w:rPr>
        <w:t xml:space="preserve"> Los CGPE-21 estiman un precio promedio de la mezcla mexicana de exportación de 42.1 dólares por barril (dpb) para 2021, lo anterior, como resultado de la caída en la demanda mundial de petróleo por la pandemia de COVID-19 y por la expectativa de una lenta recuperación a nivel global para el próximo año.</w:t>
      </w:r>
    </w:p>
    <w:p w:rsidR="0041413F" w:rsidRPr="00320D16" w:rsidRDefault="0041413F" w:rsidP="00320D16">
      <w:pPr>
        <w:spacing w:line="360" w:lineRule="auto"/>
        <w:rPr>
          <w:rFonts w:ascii="Gotham" w:hAnsi="Gotham"/>
        </w:rPr>
      </w:pPr>
      <w:r w:rsidRPr="00320D16">
        <w:rPr>
          <w:rFonts w:ascii="Gotham" w:hAnsi="Gotham"/>
          <w:b/>
        </w:rPr>
        <w:t xml:space="preserve">Plataforma de producción del petróleo. </w:t>
      </w:r>
      <w:r w:rsidRPr="00320D16">
        <w:rPr>
          <w:rFonts w:ascii="Gotham" w:hAnsi="Gotham"/>
        </w:rPr>
        <w:t xml:space="preserve">Los CGPE-21 pronostican una extracción de 1 millón 857 mil barriles diarios para 2021. Este nivel de producción toma en consideración la evolución esperada de los precios y la dinámica observada en la producción por parte de empresas </w:t>
      </w:r>
      <w:proofErr w:type="gramStart"/>
      <w:r w:rsidRPr="00320D16">
        <w:rPr>
          <w:rFonts w:ascii="Gotham" w:hAnsi="Gotham"/>
        </w:rPr>
        <w:t>privadas</w:t>
      </w:r>
      <w:proofErr w:type="gramEnd"/>
      <w:r w:rsidRPr="00320D16">
        <w:rPr>
          <w:rFonts w:ascii="Gotham" w:hAnsi="Gotham"/>
        </w:rPr>
        <w:t xml:space="preserve"> y de Pemex. </w:t>
      </w:r>
    </w:p>
    <w:p w:rsidR="0041413F" w:rsidRPr="00320D16" w:rsidRDefault="0041413F" w:rsidP="00320D16">
      <w:pPr>
        <w:spacing w:line="360" w:lineRule="auto"/>
        <w:rPr>
          <w:rFonts w:ascii="Gotham" w:hAnsi="Gotham"/>
        </w:rPr>
      </w:pPr>
      <w:r w:rsidRPr="00320D16">
        <w:rPr>
          <w:rFonts w:ascii="Gotham" w:hAnsi="Gotham"/>
          <w:b/>
        </w:rPr>
        <w:t xml:space="preserve">Crecimiento económico de EEUU. </w:t>
      </w:r>
      <w:r w:rsidRPr="00320D16">
        <w:rPr>
          <w:rFonts w:ascii="Gotham" w:hAnsi="Gotham"/>
        </w:rPr>
        <w:t xml:space="preserve">Se estima un crecimiento de 3.8 por ciento del PIB para 2021, principalmente, por la recuperación de su mercado interno; no obstante, anclada a un comercio global menos dinámico ocasionado por el COVID-19. </w:t>
      </w:r>
    </w:p>
    <w:p w:rsidR="0041413F" w:rsidRPr="00320D16" w:rsidRDefault="0041413F" w:rsidP="00320D16">
      <w:pPr>
        <w:spacing w:line="360" w:lineRule="auto"/>
        <w:rPr>
          <w:rFonts w:ascii="Gotham" w:hAnsi="Gotham"/>
        </w:rPr>
      </w:pPr>
      <w:r w:rsidRPr="00320D16">
        <w:rPr>
          <w:rFonts w:ascii="Gotham" w:hAnsi="Gotham"/>
          <w:b/>
        </w:rPr>
        <w:t>Producción industrial de EEUU.</w:t>
      </w:r>
      <w:r w:rsidRPr="00320D16">
        <w:rPr>
          <w:rFonts w:ascii="Gotham" w:hAnsi="Gotham"/>
        </w:rPr>
        <w:t xml:space="preserve"> Para la producción estadounidense, se espera un repunte de 3.4 por ciento para 2021, lo anterior, por la ratificación del T-MEC que generará mayor certidumbre para las inversiones y el comercio, principalmente, para el sector manufacturero.</w:t>
      </w:r>
    </w:p>
    <w:p w:rsidR="00320D16" w:rsidRDefault="00320D16" w:rsidP="00320D16">
      <w:pPr>
        <w:autoSpaceDE w:val="0"/>
        <w:autoSpaceDN w:val="0"/>
        <w:adjustRightInd w:val="0"/>
        <w:spacing w:after="0" w:line="360" w:lineRule="auto"/>
        <w:jc w:val="center"/>
        <w:rPr>
          <w:rFonts w:ascii="Gotham" w:hAnsi="Gotham" w:cs="Century Gothic"/>
          <w:b/>
          <w:bCs/>
          <w:color w:val="000000"/>
        </w:rPr>
      </w:pPr>
    </w:p>
    <w:p w:rsidR="00320D16" w:rsidRDefault="00320D16" w:rsidP="00320D16">
      <w:pPr>
        <w:autoSpaceDE w:val="0"/>
        <w:autoSpaceDN w:val="0"/>
        <w:adjustRightInd w:val="0"/>
        <w:spacing w:after="0" w:line="360" w:lineRule="auto"/>
        <w:jc w:val="center"/>
        <w:rPr>
          <w:rFonts w:ascii="Gotham" w:hAnsi="Gotham" w:cs="Century Gothic"/>
          <w:b/>
          <w:bCs/>
          <w:color w:val="000000"/>
        </w:rPr>
      </w:pPr>
    </w:p>
    <w:p w:rsidR="00320D16" w:rsidRDefault="00320D16" w:rsidP="00320D16">
      <w:pPr>
        <w:autoSpaceDE w:val="0"/>
        <w:autoSpaceDN w:val="0"/>
        <w:adjustRightInd w:val="0"/>
        <w:spacing w:after="0" w:line="360" w:lineRule="auto"/>
        <w:jc w:val="center"/>
        <w:rPr>
          <w:rFonts w:ascii="Gotham" w:hAnsi="Gotham" w:cs="Century Gothic"/>
          <w:b/>
          <w:bCs/>
          <w:color w:val="000000"/>
        </w:rPr>
      </w:pPr>
    </w:p>
    <w:p w:rsidR="00320D16" w:rsidRDefault="00320D16" w:rsidP="00320D16">
      <w:pPr>
        <w:autoSpaceDE w:val="0"/>
        <w:autoSpaceDN w:val="0"/>
        <w:adjustRightInd w:val="0"/>
        <w:spacing w:after="0" w:line="360" w:lineRule="auto"/>
        <w:jc w:val="center"/>
        <w:rPr>
          <w:rFonts w:ascii="Gotham" w:hAnsi="Gotham" w:cs="Century Gothic"/>
          <w:b/>
          <w:bCs/>
          <w:color w:val="000000"/>
        </w:rPr>
      </w:pPr>
    </w:p>
    <w:p w:rsidR="00320D16" w:rsidRDefault="00320D16" w:rsidP="00320D16">
      <w:pPr>
        <w:autoSpaceDE w:val="0"/>
        <w:autoSpaceDN w:val="0"/>
        <w:adjustRightInd w:val="0"/>
        <w:spacing w:after="0" w:line="360" w:lineRule="auto"/>
        <w:jc w:val="center"/>
        <w:rPr>
          <w:rFonts w:ascii="Gotham" w:hAnsi="Gotham" w:cs="Century Gothic"/>
          <w:b/>
          <w:bCs/>
          <w:color w:val="000000"/>
        </w:rPr>
      </w:pPr>
    </w:p>
    <w:p w:rsidR="00320D16" w:rsidRDefault="00320D16" w:rsidP="00320D16">
      <w:pPr>
        <w:autoSpaceDE w:val="0"/>
        <w:autoSpaceDN w:val="0"/>
        <w:adjustRightInd w:val="0"/>
        <w:spacing w:after="0" w:line="360" w:lineRule="auto"/>
        <w:jc w:val="center"/>
        <w:rPr>
          <w:rFonts w:ascii="Gotham" w:hAnsi="Gotham" w:cs="Century Gothic"/>
          <w:b/>
          <w:bCs/>
          <w:color w:val="000000"/>
        </w:rPr>
      </w:pPr>
    </w:p>
    <w:p w:rsidR="0041413F" w:rsidRPr="00320D16" w:rsidRDefault="0041413F" w:rsidP="00320D16">
      <w:pPr>
        <w:autoSpaceDE w:val="0"/>
        <w:autoSpaceDN w:val="0"/>
        <w:adjustRightInd w:val="0"/>
        <w:spacing w:after="0" w:line="360" w:lineRule="auto"/>
        <w:jc w:val="center"/>
        <w:rPr>
          <w:rFonts w:ascii="Gotham" w:hAnsi="Gotham" w:cs="Century Gothic"/>
          <w:b/>
          <w:bCs/>
          <w:color w:val="000000"/>
        </w:rPr>
      </w:pPr>
      <w:r w:rsidRPr="00320D16">
        <w:rPr>
          <w:rFonts w:ascii="Gotham" w:hAnsi="Gotham" w:cs="Century Gothic"/>
          <w:b/>
          <w:bCs/>
          <w:color w:val="000000"/>
        </w:rPr>
        <w:t>Cuadro I.3</w:t>
      </w:r>
    </w:p>
    <w:p w:rsidR="0041413F" w:rsidRPr="00320D16" w:rsidRDefault="0041413F" w:rsidP="00320D16">
      <w:pPr>
        <w:autoSpaceDE w:val="0"/>
        <w:autoSpaceDN w:val="0"/>
        <w:adjustRightInd w:val="0"/>
        <w:spacing w:after="0" w:line="360" w:lineRule="auto"/>
        <w:jc w:val="center"/>
        <w:rPr>
          <w:rFonts w:ascii="Gotham" w:hAnsi="Gotham" w:cs="Century Gothic"/>
          <w:b/>
          <w:bCs/>
          <w:color w:val="000000"/>
        </w:rPr>
      </w:pPr>
      <w:r w:rsidRPr="00320D16">
        <w:rPr>
          <w:rFonts w:ascii="Gotham" w:hAnsi="Gotham" w:cs="Century Gothic"/>
          <w:b/>
          <w:bCs/>
          <w:color w:val="000000"/>
        </w:rPr>
        <w:t>Resumen Marco macroeconómico, 2020-2021</w:t>
      </w:r>
      <w:r w:rsidRPr="00320D16">
        <w:rPr>
          <w:rFonts w:ascii="Gotham" w:hAnsi="Gotham" w:cs="Century Gothic"/>
          <w:b/>
          <w:bCs/>
          <w:color w:val="000000"/>
          <w:vertAlign w:val="superscript"/>
        </w:rPr>
        <w:t>e</w:t>
      </w:r>
    </w:p>
    <w:p w:rsidR="0041413F" w:rsidRPr="00320D16" w:rsidRDefault="0041413F" w:rsidP="00320D16">
      <w:pPr>
        <w:spacing w:line="360" w:lineRule="auto"/>
        <w:rPr>
          <w:rFonts w:ascii="Gotham" w:hAnsi="Gotham"/>
        </w:rPr>
      </w:pPr>
      <w:r w:rsidRPr="00320D16">
        <w:rPr>
          <w:rFonts w:ascii="Gotham" w:hAnsi="Gotham"/>
          <w:noProof/>
          <w:lang w:eastAsia="es-MX"/>
        </w:rPr>
        <w:drawing>
          <wp:inline distT="0" distB="0" distL="0" distR="0" wp14:anchorId="4762B4B0" wp14:editId="30BAA0C6">
            <wp:extent cx="5803079" cy="5996763"/>
            <wp:effectExtent l="0" t="0" r="7620" b="4445"/>
            <wp:docPr id="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805981" cy="5999762"/>
                    </a:xfrm>
                    <a:prstGeom prst="rect">
                      <a:avLst/>
                    </a:prstGeom>
                    <a:noFill/>
                    <a:ln w="9525">
                      <a:noFill/>
                      <a:miter lim="800000"/>
                      <a:headEnd/>
                      <a:tailEnd/>
                    </a:ln>
                  </pic:spPr>
                </pic:pic>
              </a:graphicData>
            </a:graphic>
          </wp:inline>
        </w:drawing>
      </w:r>
    </w:p>
    <w:p w:rsidR="002F614D" w:rsidRDefault="002F614D" w:rsidP="00320D16">
      <w:pPr>
        <w:spacing w:line="360" w:lineRule="auto"/>
        <w:rPr>
          <w:rFonts w:ascii="Gotham" w:hAnsi="Gotham"/>
          <w:b/>
          <w:color w:val="000000"/>
          <w:lang w:eastAsia="es-MX"/>
        </w:rPr>
      </w:pPr>
    </w:p>
    <w:p w:rsidR="002F614D" w:rsidRDefault="002F614D" w:rsidP="00320D16">
      <w:pPr>
        <w:spacing w:line="360" w:lineRule="auto"/>
        <w:rPr>
          <w:rFonts w:ascii="Gotham" w:hAnsi="Gotham"/>
          <w:b/>
          <w:color w:val="000000"/>
          <w:lang w:eastAsia="es-MX"/>
        </w:rPr>
      </w:pPr>
    </w:p>
    <w:p w:rsidR="002F614D" w:rsidRDefault="002F614D" w:rsidP="00320D16">
      <w:pPr>
        <w:spacing w:line="360" w:lineRule="auto"/>
        <w:rPr>
          <w:rFonts w:ascii="Gotham" w:hAnsi="Gotham"/>
          <w:b/>
          <w:color w:val="000000"/>
          <w:lang w:eastAsia="es-MX"/>
        </w:rPr>
      </w:pPr>
    </w:p>
    <w:p w:rsidR="002F614D" w:rsidRDefault="002F614D" w:rsidP="00320D16">
      <w:pPr>
        <w:spacing w:line="360" w:lineRule="auto"/>
        <w:rPr>
          <w:rFonts w:ascii="Gotham" w:hAnsi="Gotham"/>
          <w:b/>
          <w:color w:val="000000"/>
          <w:lang w:eastAsia="es-MX"/>
        </w:rPr>
      </w:pPr>
    </w:p>
    <w:p w:rsidR="002F614D" w:rsidRDefault="002F614D" w:rsidP="00320D16">
      <w:pPr>
        <w:spacing w:line="360" w:lineRule="auto"/>
        <w:rPr>
          <w:rFonts w:ascii="Gotham" w:hAnsi="Gotham"/>
          <w:b/>
          <w:color w:val="000000"/>
          <w:lang w:eastAsia="es-MX"/>
        </w:rPr>
      </w:pPr>
    </w:p>
    <w:p w:rsidR="0041413F" w:rsidRPr="00320D16" w:rsidRDefault="0041413F" w:rsidP="00320D16">
      <w:pPr>
        <w:spacing w:line="360" w:lineRule="auto"/>
        <w:rPr>
          <w:rFonts w:ascii="Gotham" w:hAnsi="Gotham"/>
          <w:b/>
          <w:color w:val="000000"/>
          <w:lang w:eastAsia="es-MX"/>
        </w:rPr>
      </w:pPr>
      <w:r w:rsidRPr="00320D16">
        <w:rPr>
          <w:rFonts w:ascii="Gotham" w:hAnsi="Gotham"/>
          <w:b/>
          <w:color w:val="000000"/>
          <w:lang w:eastAsia="es-MX"/>
        </w:rPr>
        <w:lastRenderedPageBreak/>
        <w:t xml:space="preserve">I.3 </w:t>
      </w:r>
      <w:r w:rsidR="00793E41">
        <w:rPr>
          <w:rFonts w:ascii="Gotham" w:hAnsi="Gotham"/>
          <w:b/>
          <w:color w:val="000000"/>
          <w:lang w:eastAsia="es-MX"/>
        </w:rPr>
        <w:t>Panorama Económico</w:t>
      </w:r>
      <w:r w:rsidRPr="00320D16">
        <w:rPr>
          <w:rFonts w:ascii="Gotham" w:hAnsi="Gotham"/>
          <w:b/>
          <w:color w:val="000000"/>
          <w:lang w:eastAsia="es-MX"/>
        </w:rPr>
        <w:t xml:space="preserve"> del Estado de Chiapas</w:t>
      </w:r>
    </w:p>
    <w:p w:rsidR="0041413F" w:rsidRPr="00320D16" w:rsidRDefault="0041413F" w:rsidP="00320D16">
      <w:pPr>
        <w:spacing w:line="360" w:lineRule="auto"/>
        <w:rPr>
          <w:rFonts w:ascii="Gotham" w:hAnsi="Gotham"/>
        </w:rPr>
      </w:pPr>
      <w:r w:rsidRPr="00320D16">
        <w:rPr>
          <w:rFonts w:ascii="Gotham" w:hAnsi="Gotham"/>
        </w:rPr>
        <w:t xml:space="preserve">El desarrollo de la actividad económica de Chiapas ha </w:t>
      </w:r>
      <w:r w:rsidR="00B0255F" w:rsidRPr="00320D16">
        <w:rPr>
          <w:rFonts w:ascii="Gotham" w:hAnsi="Gotham"/>
        </w:rPr>
        <w:t>sido con</w:t>
      </w:r>
      <w:r w:rsidRPr="00320D16">
        <w:rPr>
          <w:rFonts w:ascii="Gotham" w:hAnsi="Gotham"/>
        </w:rPr>
        <w:t xml:space="preserve"> altibajos en los últimos años</w:t>
      </w:r>
      <w:r w:rsidR="00B0255F" w:rsidRPr="00320D16">
        <w:rPr>
          <w:rFonts w:ascii="Gotham" w:hAnsi="Gotham"/>
        </w:rPr>
        <w:t xml:space="preserve">, </w:t>
      </w:r>
      <w:r w:rsidRPr="00320D16">
        <w:rPr>
          <w:rFonts w:ascii="Gotham" w:hAnsi="Gotham"/>
        </w:rPr>
        <w:t xml:space="preserve">de acuerdo a lo publicado recientemente por INEGI, al mes de julio de </w:t>
      </w:r>
      <w:r w:rsidR="000E739A" w:rsidRPr="00320D16">
        <w:rPr>
          <w:rFonts w:ascii="Gotham" w:hAnsi="Gotham"/>
        </w:rPr>
        <w:t>2020</w:t>
      </w:r>
      <w:r w:rsidRPr="00320D16">
        <w:rPr>
          <w:rFonts w:ascii="Gotham" w:hAnsi="Gotham"/>
        </w:rPr>
        <w:t>. Los factores que han incidido son diversos ya que está sujeta a factores externos como: la reactivación de la economía mundial y nacional</w:t>
      </w:r>
      <w:r w:rsidR="00B0255F" w:rsidRPr="00320D16">
        <w:rPr>
          <w:rFonts w:ascii="Gotham" w:hAnsi="Gotham"/>
        </w:rPr>
        <w:t>;</w:t>
      </w:r>
      <w:r w:rsidRPr="00320D16">
        <w:rPr>
          <w:rFonts w:ascii="Gotham" w:hAnsi="Gotham"/>
        </w:rPr>
        <w:t xml:space="preserve"> una mayor ralentización de la recuperación productiva de Estados Unidos que es el principal socio comercial de </w:t>
      </w:r>
      <w:r w:rsidR="00B0255F" w:rsidRPr="00320D16">
        <w:rPr>
          <w:rFonts w:ascii="Gotham" w:hAnsi="Gotham"/>
        </w:rPr>
        <w:t>México</w:t>
      </w:r>
      <w:r w:rsidRPr="00320D16">
        <w:rPr>
          <w:rFonts w:ascii="Gotham" w:hAnsi="Gotham"/>
        </w:rPr>
        <w:t>, incertidumbre y volatilidad en los mercados financieros internacionales, riesgos geopolíticos y comerciales a nivel mundial que podían afectar los flujos de capitales, la productividad y el crecimiento económico global.</w:t>
      </w:r>
    </w:p>
    <w:p w:rsidR="0041413F" w:rsidRPr="00320D16" w:rsidRDefault="0041413F" w:rsidP="00320D16">
      <w:pPr>
        <w:spacing w:line="360" w:lineRule="auto"/>
        <w:rPr>
          <w:rFonts w:ascii="Gotham" w:hAnsi="Gotham"/>
          <w:b/>
          <w:color w:val="000000"/>
          <w:highlight w:val="green"/>
          <w:lang w:eastAsia="es-MX"/>
        </w:rPr>
      </w:pPr>
    </w:p>
    <w:p w:rsidR="0041413F" w:rsidRPr="00320D16" w:rsidRDefault="0041413F" w:rsidP="00320D16">
      <w:pPr>
        <w:spacing w:line="360" w:lineRule="auto"/>
        <w:rPr>
          <w:rFonts w:ascii="Gotham" w:hAnsi="Gotham"/>
          <w:b/>
          <w:color w:val="000000"/>
          <w:lang w:eastAsia="es-MX"/>
        </w:rPr>
      </w:pPr>
      <w:r w:rsidRPr="00320D16">
        <w:rPr>
          <w:rFonts w:ascii="Gotham" w:hAnsi="Gotham"/>
          <w:b/>
          <w:color w:val="000000"/>
          <w:lang w:eastAsia="es-MX"/>
        </w:rPr>
        <w:t>I.3.1 PIB de Chiapas</w:t>
      </w:r>
    </w:p>
    <w:p w:rsidR="0041413F" w:rsidRPr="00320D16" w:rsidRDefault="0041413F" w:rsidP="00320D16">
      <w:pPr>
        <w:spacing w:line="360" w:lineRule="auto"/>
        <w:rPr>
          <w:rFonts w:ascii="Gotham" w:hAnsi="Gotham"/>
        </w:rPr>
      </w:pPr>
      <w:r w:rsidRPr="00320D16">
        <w:rPr>
          <w:rFonts w:ascii="Gotham" w:hAnsi="Gotham"/>
        </w:rPr>
        <w:t xml:space="preserve">El Producto Interno Bruto del Estado de Chiapas (PIBE), muestra una trayectoria con altibajos en sus niveles de crecimiento motivado por diversos factores como: acontecimientos económicos, financieros y políticos suscitados en el ámbito nacional e internacional, entre otros factores socio políticos que influyen en el desempeño de la actividad económica chiapaneca. </w:t>
      </w:r>
    </w:p>
    <w:p w:rsidR="0041413F" w:rsidRPr="00320D16" w:rsidRDefault="0041413F" w:rsidP="00320D16">
      <w:pPr>
        <w:spacing w:line="360" w:lineRule="auto"/>
        <w:rPr>
          <w:rFonts w:ascii="Gotham" w:hAnsi="Gotham"/>
        </w:rPr>
      </w:pPr>
      <w:r w:rsidRPr="00320D16">
        <w:rPr>
          <w:rFonts w:ascii="Gotham" w:hAnsi="Gotham"/>
        </w:rPr>
        <w:t>Se estima que el PIBE, m</w:t>
      </w:r>
      <w:r w:rsidR="009D23BE" w:rsidRPr="00320D16">
        <w:rPr>
          <w:rFonts w:ascii="Gotham" w:hAnsi="Gotham"/>
        </w:rPr>
        <w:t xml:space="preserve">antenga </w:t>
      </w:r>
      <w:r w:rsidRPr="00320D16">
        <w:rPr>
          <w:rFonts w:ascii="Gotham" w:hAnsi="Gotham"/>
        </w:rPr>
        <w:t xml:space="preserve">un desempeño </w:t>
      </w:r>
      <w:r w:rsidR="009D23BE" w:rsidRPr="00320D16">
        <w:rPr>
          <w:rFonts w:ascii="Gotham" w:hAnsi="Gotham"/>
        </w:rPr>
        <w:t>congruente con las</w:t>
      </w:r>
      <w:r w:rsidRPr="00320D16">
        <w:rPr>
          <w:rFonts w:ascii="Gotham" w:hAnsi="Gotham"/>
        </w:rPr>
        <w:t xml:space="preserve"> proyec</w:t>
      </w:r>
      <w:r w:rsidR="009D23BE" w:rsidRPr="00320D16">
        <w:rPr>
          <w:rFonts w:ascii="Gotham" w:hAnsi="Gotham"/>
        </w:rPr>
        <w:t>ciones de</w:t>
      </w:r>
      <w:r w:rsidRPr="00320D16">
        <w:rPr>
          <w:rFonts w:ascii="Gotham" w:hAnsi="Gotham"/>
        </w:rPr>
        <w:t xml:space="preserve"> la economía nacional, </w:t>
      </w:r>
      <w:r w:rsidR="009D23BE" w:rsidRPr="00320D16">
        <w:rPr>
          <w:rFonts w:ascii="Gotham" w:hAnsi="Gotham"/>
        </w:rPr>
        <w:t xml:space="preserve">por lo que se </w:t>
      </w:r>
      <w:r w:rsidRPr="00320D16">
        <w:rPr>
          <w:rFonts w:ascii="Gotham" w:hAnsi="Gotham"/>
        </w:rPr>
        <w:t xml:space="preserve">prevé </w:t>
      </w:r>
      <w:r w:rsidR="009D23BE" w:rsidRPr="00320D16">
        <w:rPr>
          <w:rFonts w:ascii="Gotham" w:hAnsi="Gotham"/>
        </w:rPr>
        <w:t xml:space="preserve">una </w:t>
      </w:r>
      <w:r w:rsidRPr="00320D16">
        <w:rPr>
          <w:rFonts w:ascii="Gotham" w:hAnsi="Gotham"/>
        </w:rPr>
        <w:t>contracción de (8.0) por ciento para el cierre de 2020</w:t>
      </w:r>
      <w:r w:rsidR="00E2480F" w:rsidRPr="00320D16">
        <w:rPr>
          <w:rFonts w:ascii="Gotham" w:hAnsi="Gotham"/>
        </w:rPr>
        <w:t>,</w:t>
      </w:r>
      <w:r w:rsidRPr="00320D16">
        <w:rPr>
          <w:rFonts w:ascii="Gotham" w:hAnsi="Gotham"/>
        </w:rPr>
        <w:t xml:space="preserve"> debido a los factores de riesgos mencionados que inciden en el comportamiento de la actividad económica estatal, mientras que para 2021, se espera una recuperación y se ubique en 4.6 por ciento.</w:t>
      </w:r>
    </w:p>
    <w:p w:rsidR="002F614D" w:rsidRDefault="002F614D" w:rsidP="00320D16">
      <w:pPr>
        <w:tabs>
          <w:tab w:val="left" w:pos="3720"/>
          <w:tab w:val="center" w:pos="4419"/>
        </w:tabs>
        <w:autoSpaceDE w:val="0"/>
        <w:autoSpaceDN w:val="0"/>
        <w:adjustRightInd w:val="0"/>
        <w:spacing w:line="360" w:lineRule="auto"/>
        <w:jc w:val="center"/>
        <w:rPr>
          <w:rFonts w:ascii="Gotham" w:hAnsi="Gotham" w:cs="Century Gothic"/>
          <w:b/>
          <w:bCs/>
          <w:color w:val="000000"/>
        </w:rPr>
      </w:pPr>
    </w:p>
    <w:p w:rsidR="002F614D" w:rsidRDefault="002F614D" w:rsidP="00320D16">
      <w:pPr>
        <w:tabs>
          <w:tab w:val="left" w:pos="3720"/>
          <w:tab w:val="center" w:pos="4419"/>
        </w:tabs>
        <w:autoSpaceDE w:val="0"/>
        <w:autoSpaceDN w:val="0"/>
        <w:adjustRightInd w:val="0"/>
        <w:spacing w:line="360" w:lineRule="auto"/>
        <w:jc w:val="center"/>
        <w:rPr>
          <w:rFonts w:ascii="Gotham" w:hAnsi="Gotham" w:cs="Century Gothic"/>
          <w:b/>
          <w:bCs/>
          <w:color w:val="000000"/>
        </w:rPr>
      </w:pPr>
    </w:p>
    <w:p w:rsidR="002F614D" w:rsidRDefault="002F614D" w:rsidP="00320D16">
      <w:pPr>
        <w:tabs>
          <w:tab w:val="left" w:pos="3720"/>
          <w:tab w:val="center" w:pos="4419"/>
        </w:tabs>
        <w:autoSpaceDE w:val="0"/>
        <w:autoSpaceDN w:val="0"/>
        <w:adjustRightInd w:val="0"/>
        <w:spacing w:line="360" w:lineRule="auto"/>
        <w:jc w:val="center"/>
        <w:rPr>
          <w:rFonts w:ascii="Gotham" w:hAnsi="Gotham" w:cs="Century Gothic"/>
          <w:b/>
          <w:bCs/>
          <w:color w:val="000000"/>
        </w:rPr>
      </w:pPr>
    </w:p>
    <w:p w:rsidR="002F614D" w:rsidRDefault="002F614D" w:rsidP="00320D16">
      <w:pPr>
        <w:tabs>
          <w:tab w:val="left" w:pos="3720"/>
          <w:tab w:val="center" w:pos="4419"/>
        </w:tabs>
        <w:autoSpaceDE w:val="0"/>
        <w:autoSpaceDN w:val="0"/>
        <w:adjustRightInd w:val="0"/>
        <w:spacing w:line="360" w:lineRule="auto"/>
        <w:jc w:val="center"/>
        <w:rPr>
          <w:rFonts w:ascii="Gotham" w:hAnsi="Gotham" w:cs="Century Gothic"/>
          <w:b/>
          <w:bCs/>
          <w:color w:val="000000"/>
        </w:rPr>
      </w:pPr>
    </w:p>
    <w:p w:rsidR="002F614D" w:rsidRDefault="002F614D" w:rsidP="00320D16">
      <w:pPr>
        <w:tabs>
          <w:tab w:val="left" w:pos="3720"/>
          <w:tab w:val="center" w:pos="4419"/>
        </w:tabs>
        <w:autoSpaceDE w:val="0"/>
        <w:autoSpaceDN w:val="0"/>
        <w:adjustRightInd w:val="0"/>
        <w:spacing w:line="360" w:lineRule="auto"/>
        <w:jc w:val="center"/>
        <w:rPr>
          <w:rFonts w:ascii="Gotham" w:hAnsi="Gotham" w:cs="Century Gothic"/>
          <w:b/>
          <w:bCs/>
          <w:color w:val="000000"/>
        </w:rPr>
      </w:pPr>
    </w:p>
    <w:p w:rsidR="002F614D" w:rsidRDefault="002F614D" w:rsidP="00320D16">
      <w:pPr>
        <w:tabs>
          <w:tab w:val="left" w:pos="3720"/>
          <w:tab w:val="center" w:pos="4419"/>
        </w:tabs>
        <w:autoSpaceDE w:val="0"/>
        <w:autoSpaceDN w:val="0"/>
        <w:adjustRightInd w:val="0"/>
        <w:spacing w:line="360" w:lineRule="auto"/>
        <w:jc w:val="center"/>
        <w:rPr>
          <w:rFonts w:ascii="Gotham" w:hAnsi="Gotham" w:cs="Century Gothic"/>
          <w:b/>
          <w:bCs/>
          <w:color w:val="000000"/>
        </w:rPr>
      </w:pPr>
    </w:p>
    <w:p w:rsidR="002F614D" w:rsidRDefault="002F614D" w:rsidP="00320D16">
      <w:pPr>
        <w:tabs>
          <w:tab w:val="left" w:pos="3720"/>
          <w:tab w:val="center" w:pos="4419"/>
        </w:tabs>
        <w:autoSpaceDE w:val="0"/>
        <w:autoSpaceDN w:val="0"/>
        <w:adjustRightInd w:val="0"/>
        <w:spacing w:line="360" w:lineRule="auto"/>
        <w:jc w:val="center"/>
        <w:rPr>
          <w:rFonts w:ascii="Gotham" w:hAnsi="Gotham" w:cs="Century Gothic"/>
          <w:b/>
          <w:bCs/>
          <w:color w:val="000000"/>
        </w:rPr>
      </w:pPr>
    </w:p>
    <w:p w:rsidR="002F614D" w:rsidRDefault="002F614D" w:rsidP="00320D16">
      <w:pPr>
        <w:tabs>
          <w:tab w:val="left" w:pos="3720"/>
          <w:tab w:val="center" w:pos="4419"/>
        </w:tabs>
        <w:autoSpaceDE w:val="0"/>
        <w:autoSpaceDN w:val="0"/>
        <w:adjustRightInd w:val="0"/>
        <w:spacing w:line="360" w:lineRule="auto"/>
        <w:jc w:val="center"/>
        <w:rPr>
          <w:rFonts w:ascii="Gotham" w:hAnsi="Gotham" w:cs="Century Gothic"/>
          <w:b/>
          <w:bCs/>
          <w:color w:val="000000"/>
        </w:rPr>
      </w:pPr>
    </w:p>
    <w:p w:rsidR="002F614D" w:rsidRDefault="002F614D" w:rsidP="00320D16">
      <w:pPr>
        <w:tabs>
          <w:tab w:val="left" w:pos="3720"/>
          <w:tab w:val="center" w:pos="4419"/>
        </w:tabs>
        <w:autoSpaceDE w:val="0"/>
        <w:autoSpaceDN w:val="0"/>
        <w:adjustRightInd w:val="0"/>
        <w:spacing w:line="360" w:lineRule="auto"/>
        <w:jc w:val="center"/>
        <w:rPr>
          <w:rFonts w:ascii="Gotham" w:hAnsi="Gotham" w:cs="Century Gothic"/>
          <w:b/>
          <w:bCs/>
          <w:color w:val="000000"/>
        </w:rPr>
      </w:pPr>
    </w:p>
    <w:p w:rsidR="0041413F" w:rsidRPr="00320D16" w:rsidRDefault="0041413F" w:rsidP="002F614D">
      <w:pPr>
        <w:tabs>
          <w:tab w:val="left" w:pos="3720"/>
          <w:tab w:val="center" w:pos="4419"/>
        </w:tabs>
        <w:autoSpaceDE w:val="0"/>
        <w:autoSpaceDN w:val="0"/>
        <w:adjustRightInd w:val="0"/>
        <w:spacing w:after="0" w:line="360" w:lineRule="auto"/>
        <w:jc w:val="center"/>
        <w:rPr>
          <w:rFonts w:ascii="Gotham" w:hAnsi="Gotham" w:cs="Century Gothic"/>
          <w:b/>
          <w:bCs/>
          <w:color w:val="000000"/>
        </w:rPr>
      </w:pPr>
      <w:r w:rsidRPr="00320D16">
        <w:rPr>
          <w:rFonts w:ascii="Gotham" w:hAnsi="Gotham" w:cs="Century Gothic"/>
          <w:b/>
          <w:bCs/>
          <w:color w:val="000000"/>
        </w:rPr>
        <w:t>Grafica I.8</w:t>
      </w:r>
    </w:p>
    <w:p w:rsidR="0041413F" w:rsidRPr="00320D16" w:rsidRDefault="0041413F" w:rsidP="002F614D">
      <w:pPr>
        <w:tabs>
          <w:tab w:val="left" w:pos="3720"/>
          <w:tab w:val="center" w:pos="4419"/>
        </w:tabs>
        <w:autoSpaceDE w:val="0"/>
        <w:autoSpaceDN w:val="0"/>
        <w:adjustRightInd w:val="0"/>
        <w:spacing w:after="0" w:line="360" w:lineRule="auto"/>
        <w:jc w:val="center"/>
        <w:rPr>
          <w:rFonts w:ascii="Gotham" w:hAnsi="Gotham" w:cs="Century Gothic"/>
          <w:b/>
          <w:bCs/>
          <w:color w:val="000000"/>
        </w:rPr>
      </w:pPr>
      <w:r w:rsidRPr="00320D16">
        <w:rPr>
          <w:rFonts w:ascii="Gotham" w:hAnsi="Gotham" w:cs="Century Gothic"/>
          <w:b/>
          <w:bCs/>
          <w:color w:val="000000"/>
        </w:rPr>
        <w:t>PIB de Chiapas</w:t>
      </w:r>
    </w:p>
    <w:p w:rsidR="0041413F" w:rsidRPr="00320D16" w:rsidRDefault="0041413F" w:rsidP="002F614D">
      <w:pPr>
        <w:tabs>
          <w:tab w:val="left" w:pos="3720"/>
          <w:tab w:val="center" w:pos="4419"/>
        </w:tabs>
        <w:autoSpaceDE w:val="0"/>
        <w:autoSpaceDN w:val="0"/>
        <w:adjustRightInd w:val="0"/>
        <w:spacing w:after="0" w:line="360" w:lineRule="auto"/>
        <w:jc w:val="center"/>
        <w:rPr>
          <w:rFonts w:ascii="Gotham" w:hAnsi="Gotham" w:cs="Century Gothic"/>
          <w:bCs/>
          <w:color w:val="000000"/>
        </w:rPr>
      </w:pPr>
      <w:r w:rsidRPr="00320D16">
        <w:rPr>
          <w:rFonts w:ascii="Gotham" w:hAnsi="Gotham" w:cs="Century Gothic"/>
          <w:b/>
          <w:bCs/>
          <w:color w:val="000000"/>
        </w:rPr>
        <w:t xml:space="preserve"> </w:t>
      </w:r>
      <w:r w:rsidRPr="00320D16">
        <w:rPr>
          <w:rFonts w:ascii="Gotham" w:hAnsi="Gotham" w:cs="Century Gothic"/>
          <w:bCs/>
          <w:color w:val="000000"/>
        </w:rPr>
        <w:t>(Porcentaje)</w:t>
      </w:r>
    </w:p>
    <w:p w:rsidR="0041413F" w:rsidRPr="00320D16" w:rsidRDefault="006E3E3F" w:rsidP="00320D16">
      <w:pPr>
        <w:spacing w:line="360" w:lineRule="auto"/>
        <w:jc w:val="center"/>
        <w:rPr>
          <w:rFonts w:ascii="Gotham" w:hAnsi="Gotham"/>
          <w:b/>
          <w:color w:val="000000"/>
          <w:highlight w:val="green"/>
          <w:lang w:eastAsia="es-MX"/>
        </w:rPr>
      </w:pPr>
      <w:r w:rsidRPr="00320D16">
        <w:rPr>
          <w:rFonts w:ascii="Gotham" w:hAnsi="Gotham"/>
          <w:noProof/>
          <w:lang w:eastAsia="es-MX"/>
        </w:rPr>
        <w:drawing>
          <wp:inline distT="0" distB="0" distL="0" distR="0" wp14:anchorId="6CD647D0" wp14:editId="738DE4B4">
            <wp:extent cx="5295900" cy="238500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02815" cy="2388121"/>
                    </a:xfrm>
                    <a:prstGeom prst="rect">
                      <a:avLst/>
                    </a:prstGeom>
                    <a:noFill/>
                    <a:ln>
                      <a:noFill/>
                    </a:ln>
                  </pic:spPr>
                </pic:pic>
              </a:graphicData>
            </a:graphic>
          </wp:inline>
        </w:drawing>
      </w:r>
    </w:p>
    <w:p w:rsidR="00920128" w:rsidRPr="00320D16" w:rsidRDefault="00920128" w:rsidP="00320D16">
      <w:pPr>
        <w:spacing w:line="360" w:lineRule="auto"/>
        <w:rPr>
          <w:rFonts w:ascii="Gotham" w:hAnsi="Gotham"/>
          <w:b/>
          <w:color w:val="000000"/>
          <w:highlight w:val="yellow"/>
          <w:lang w:eastAsia="es-MX"/>
        </w:rPr>
      </w:pPr>
    </w:p>
    <w:p w:rsidR="0041413F" w:rsidRPr="00320D16" w:rsidRDefault="0041413F" w:rsidP="00320D16">
      <w:pPr>
        <w:spacing w:line="360" w:lineRule="auto"/>
        <w:rPr>
          <w:rFonts w:ascii="Gotham" w:hAnsi="Gotham"/>
          <w:b/>
          <w:color w:val="000000"/>
          <w:lang w:eastAsia="es-MX"/>
        </w:rPr>
      </w:pPr>
      <w:r w:rsidRPr="00320D16">
        <w:rPr>
          <w:rFonts w:ascii="Gotham" w:hAnsi="Gotham"/>
          <w:b/>
          <w:color w:val="000000"/>
          <w:lang w:eastAsia="es-MX"/>
        </w:rPr>
        <w:t>I.3.2 Mercado Laboral y Tasa de Desocupación</w:t>
      </w:r>
    </w:p>
    <w:p w:rsidR="005F7961" w:rsidRPr="00320D16" w:rsidRDefault="005F7961" w:rsidP="00320D16">
      <w:pPr>
        <w:spacing w:line="360" w:lineRule="auto"/>
        <w:rPr>
          <w:rFonts w:ascii="Gotham" w:hAnsi="Gotham"/>
        </w:rPr>
      </w:pPr>
      <w:r w:rsidRPr="00320D16">
        <w:rPr>
          <w:rFonts w:ascii="Gotham" w:hAnsi="Gotham"/>
        </w:rPr>
        <w:t>Con base en las cifras del Instituto Mexicano de Seguridad Social (IMSS), en el mes de octubre del año 20</w:t>
      </w:r>
      <w:r w:rsidR="00C52FC9" w:rsidRPr="00320D16">
        <w:rPr>
          <w:rFonts w:ascii="Gotham" w:hAnsi="Gotham"/>
        </w:rPr>
        <w:t>20</w:t>
      </w:r>
      <w:r w:rsidRPr="00320D16">
        <w:rPr>
          <w:rFonts w:ascii="Gotham" w:hAnsi="Gotham"/>
        </w:rPr>
        <w:t xml:space="preserve"> los Trabajadores Permanentes y Eventuales Urbanos (TPEU) afiliados al IMSS excluyendo a los trabajadores eventuales del campo ascendieron a 2</w:t>
      </w:r>
      <w:r w:rsidR="00C52FC9" w:rsidRPr="00320D16">
        <w:rPr>
          <w:rFonts w:ascii="Gotham" w:hAnsi="Gotham"/>
        </w:rPr>
        <w:t>18</w:t>
      </w:r>
      <w:r w:rsidRPr="00320D16">
        <w:rPr>
          <w:rFonts w:ascii="Gotham" w:hAnsi="Gotham"/>
        </w:rPr>
        <w:t xml:space="preserve"> mil </w:t>
      </w:r>
      <w:r w:rsidR="00C52FC9" w:rsidRPr="00320D16">
        <w:rPr>
          <w:rFonts w:ascii="Gotham" w:hAnsi="Gotham"/>
        </w:rPr>
        <w:t>515</w:t>
      </w:r>
      <w:r w:rsidRPr="00320D16">
        <w:rPr>
          <w:rFonts w:ascii="Gotham" w:hAnsi="Gotham"/>
        </w:rPr>
        <w:t xml:space="preserve"> trabajadores; esto comparado con igual periodo significa una contracción de </w:t>
      </w:r>
      <w:r w:rsidR="00C52FC9" w:rsidRPr="00320D16">
        <w:rPr>
          <w:rFonts w:ascii="Gotham" w:hAnsi="Gotham"/>
        </w:rPr>
        <w:t>6 mil 43</w:t>
      </w:r>
      <w:r w:rsidRPr="00320D16">
        <w:rPr>
          <w:rFonts w:ascii="Gotham" w:hAnsi="Gotham"/>
        </w:rPr>
        <w:t xml:space="preserve"> plazas, equivalente a un decremento anual de (</w:t>
      </w:r>
      <w:r w:rsidR="00C52FC9" w:rsidRPr="00320D16">
        <w:rPr>
          <w:rFonts w:ascii="Gotham" w:hAnsi="Gotham"/>
        </w:rPr>
        <w:t>2.7</w:t>
      </w:r>
      <w:r w:rsidRPr="00320D16">
        <w:rPr>
          <w:rFonts w:ascii="Gotham" w:hAnsi="Gotham"/>
        </w:rPr>
        <w:t xml:space="preserve">) por ciento. </w:t>
      </w:r>
    </w:p>
    <w:p w:rsidR="005F7961" w:rsidRPr="00320D16" w:rsidRDefault="005F7961" w:rsidP="00320D16">
      <w:pPr>
        <w:spacing w:line="360" w:lineRule="auto"/>
        <w:rPr>
          <w:rFonts w:ascii="Gotham" w:hAnsi="Gotham"/>
        </w:rPr>
      </w:pPr>
      <w:r w:rsidRPr="00320D16">
        <w:rPr>
          <w:rFonts w:ascii="Gotham" w:hAnsi="Gotham"/>
        </w:rPr>
        <w:t xml:space="preserve">Chiapas muestra una contracción importante en la </w:t>
      </w:r>
      <w:r w:rsidR="00C52FC9" w:rsidRPr="00320D16">
        <w:rPr>
          <w:rFonts w:ascii="Gotham" w:hAnsi="Gotham"/>
        </w:rPr>
        <w:t xml:space="preserve">generación de empleos formales y </w:t>
      </w:r>
      <w:r w:rsidR="00C55B93" w:rsidRPr="00320D16">
        <w:rPr>
          <w:rFonts w:ascii="Gotham" w:hAnsi="Gotham"/>
        </w:rPr>
        <w:t>eventuales</w:t>
      </w:r>
      <w:r w:rsidRPr="00320D16">
        <w:rPr>
          <w:rFonts w:ascii="Gotham" w:hAnsi="Gotham"/>
        </w:rPr>
        <w:t>, los riesgos e incertidumbre que se vive a nivel mundial</w:t>
      </w:r>
      <w:r w:rsidR="00C55B93" w:rsidRPr="00320D16">
        <w:rPr>
          <w:rFonts w:ascii="Gotham" w:hAnsi="Gotham"/>
        </w:rPr>
        <w:t xml:space="preserve"> por la pandemia que </w:t>
      </w:r>
      <w:r w:rsidR="00A77E76" w:rsidRPr="00320D16">
        <w:rPr>
          <w:rFonts w:ascii="Gotham" w:hAnsi="Gotham"/>
        </w:rPr>
        <w:t>derivó en un estancamiento en la generación de</w:t>
      </w:r>
      <w:r w:rsidR="00C55B93" w:rsidRPr="00320D16">
        <w:rPr>
          <w:rFonts w:ascii="Gotham" w:hAnsi="Gotham"/>
        </w:rPr>
        <w:t xml:space="preserve"> nuevos empleos</w:t>
      </w:r>
      <w:r w:rsidRPr="00320D16">
        <w:rPr>
          <w:rFonts w:ascii="Gotham" w:hAnsi="Gotham"/>
        </w:rPr>
        <w:t xml:space="preserve">. No obstante, </w:t>
      </w:r>
      <w:r w:rsidR="00A77E76" w:rsidRPr="00320D16">
        <w:rPr>
          <w:rFonts w:ascii="Gotham" w:hAnsi="Gotham"/>
        </w:rPr>
        <w:t>la estrategia de gasto</w:t>
      </w:r>
      <w:r w:rsidRPr="00320D16">
        <w:rPr>
          <w:rFonts w:ascii="Gotham" w:hAnsi="Gotham"/>
        </w:rPr>
        <w:t xml:space="preserve"> se orientará a promover </w:t>
      </w:r>
      <w:r w:rsidR="00A77E76" w:rsidRPr="00320D16">
        <w:rPr>
          <w:rFonts w:ascii="Gotham" w:hAnsi="Gotham"/>
        </w:rPr>
        <w:t xml:space="preserve">acciones relacionadas con la actividad productiva, infraestructura y turismo, y apoyo a empresas </w:t>
      </w:r>
      <w:r w:rsidR="00C55B93" w:rsidRPr="00320D16">
        <w:rPr>
          <w:rFonts w:ascii="Gotham" w:hAnsi="Gotham"/>
        </w:rPr>
        <w:t>que</w:t>
      </w:r>
      <w:r w:rsidRPr="00320D16">
        <w:rPr>
          <w:rFonts w:ascii="Gotham" w:hAnsi="Gotham"/>
        </w:rPr>
        <w:t xml:space="preserve"> estimule la </w:t>
      </w:r>
      <w:r w:rsidR="00C55B93" w:rsidRPr="00320D16">
        <w:rPr>
          <w:rFonts w:ascii="Gotham" w:hAnsi="Gotham"/>
        </w:rPr>
        <w:t xml:space="preserve">creación </w:t>
      </w:r>
      <w:r w:rsidRPr="00320D16">
        <w:rPr>
          <w:rFonts w:ascii="Gotham" w:hAnsi="Gotham"/>
        </w:rPr>
        <w:t xml:space="preserve">de </w:t>
      </w:r>
      <w:r w:rsidR="00C55B93" w:rsidRPr="00320D16">
        <w:rPr>
          <w:rFonts w:ascii="Gotham" w:hAnsi="Gotham"/>
        </w:rPr>
        <w:t xml:space="preserve">nuevos </w:t>
      </w:r>
      <w:r w:rsidRPr="00320D16">
        <w:rPr>
          <w:rFonts w:ascii="Gotham" w:hAnsi="Gotham"/>
        </w:rPr>
        <w:t>empleos.</w:t>
      </w:r>
    </w:p>
    <w:p w:rsidR="00CA3A9E" w:rsidRDefault="00CA3A9E" w:rsidP="00320D16">
      <w:pPr>
        <w:tabs>
          <w:tab w:val="left" w:pos="3720"/>
          <w:tab w:val="center" w:pos="4419"/>
        </w:tabs>
        <w:autoSpaceDE w:val="0"/>
        <w:autoSpaceDN w:val="0"/>
        <w:adjustRightInd w:val="0"/>
        <w:spacing w:line="360" w:lineRule="auto"/>
        <w:jc w:val="center"/>
        <w:rPr>
          <w:rFonts w:ascii="Gotham" w:hAnsi="Gotham" w:cs="Century Gothic"/>
          <w:b/>
          <w:bCs/>
          <w:color w:val="000000"/>
        </w:rPr>
      </w:pPr>
    </w:p>
    <w:p w:rsidR="002F614D" w:rsidRDefault="002F614D" w:rsidP="00320D16">
      <w:pPr>
        <w:tabs>
          <w:tab w:val="left" w:pos="3720"/>
          <w:tab w:val="center" w:pos="4419"/>
        </w:tabs>
        <w:autoSpaceDE w:val="0"/>
        <w:autoSpaceDN w:val="0"/>
        <w:adjustRightInd w:val="0"/>
        <w:spacing w:line="360" w:lineRule="auto"/>
        <w:jc w:val="center"/>
        <w:rPr>
          <w:rFonts w:ascii="Gotham" w:hAnsi="Gotham" w:cs="Century Gothic"/>
          <w:b/>
          <w:bCs/>
          <w:color w:val="000000"/>
        </w:rPr>
      </w:pPr>
    </w:p>
    <w:p w:rsidR="002F614D" w:rsidRDefault="002F614D" w:rsidP="00320D16">
      <w:pPr>
        <w:tabs>
          <w:tab w:val="left" w:pos="3720"/>
          <w:tab w:val="center" w:pos="4419"/>
        </w:tabs>
        <w:autoSpaceDE w:val="0"/>
        <w:autoSpaceDN w:val="0"/>
        <w:adjustRightInd w:val="0"/>
        <w:spacing w:line="360" w:lineRule="auto"/>
        <w:jc w:val="center"/>
        <w:rPr>
          <w:rFonts w:ascii="Gotham" w:hAnsi="Gotham" w:cs="Century Gothic"/>
          <w:b/>
          <w:bCs/>
          <w:color w:val="000000"/>
        </w:rPr>
      </w:pPr>
    </w:p>
    <w:p w:rsidR="002F614D" w:rsidRDefault="002F614D" w:rsidP="00320D16">
      <w:pPr>
        <w:tabs>
          <w:tab w:val="left" w:pos="3720"/>
          <w:tab w:val="center" w:pos="4419"/>
        </w:tabs>
        <w:autoSpaceDE w:val="0"/>
        <w:autoSpaceDN w:val="0"/>
        <w:adjustRightInd w:val="0"/>
        <w:spacing w:line="360" w:lineRule="auto"/>
        <w:jc w:val="center"/>
        <w:rPr>
          <w:rFonts w:ascii="Gotham" w:hAnsi="Gotham" w:cs="Century Gothic"/>
          <w:b/>
          <w:bCs/>
          <w:color w:val="000000"/>
        </w:rPr>
      </w:pPr>
    </w:p>
    <w:p w:rsidR="002F614D" w:rsidRPr="00320D16" w:rsidRDefault="002F614D" w:rsidP="00320D16">
      <w:pPr>
        <w:tabs>
          <w:tab w:val="left" w:pos="3720"/>
          <w:tab w:val="center" w:pos="4419"/>
        </w:tabs>
        <w:autoSpaceDE w:val="0"/>
        <w:autoSpaceDN w:val="0"/>
        <w:adjustRightInd w:val="0"/>
        <w:spacing w:line="360" w:lineRule="auto"/>
        <w:jc w:val="center"/>
        <w:rPr>
          <w:rFonts w:ascii="Gotham" w:hAnsi="Gotham" w:cs="Century Gothic"/>
          <w:b/>
          <w:bCs/>
          <w:color w:val="000000"/>
        </w:rPr>
      </w:pPr>
    </w:p>
    <w:p w:rsidR="0041413F" w:rsidRPr="00320D16" w:rsidRDefault="0041413F" w:rsidP="002F614D">
      <w:pPr>
        <w:tabs>
          <w:tab w:val="left" w:pos="3720"/>
          <w:tab w:val="center" w:pos="4419"/>
        </w:tabs>
        <w:autoSpaceDE w:val="0"/>
        <w:autoSpaceDN w:val="0"/>
        <w:adjustRightInd w:val="0"/>
        <w:spacing w:after="0" w:line="360" w:lineRule="auto"/>
        <w:jc w:val="center"/>
        <w:rPr>
          <w:rFonts w:ascii="Gotham" w:hAnsi="Gotham" w:cs="Century Gothic"/>
          <w:b/>
          <w:bCs/>
          <w:color w:val="000000"/>
        </w:rPr>
      </w:pPr>
      <w:r w:rsidRPr="00320D16">
        <w:rPr>
          <w:rFonts w:ascii="Gotham" w:hAnsi="Gotham" w:cs="Century Gothic"/>
          <w:b/>
          <w:bCs/>
          <w:color w:val="000000"/>
        </w:rPr>
        <w:t>Gráfica I.9.</w:t>
      </w:r>
    </w:p>
    <w:p w:rsidR="0041413F" w:rsidRPr="00320D16" w:rsidRDefault="0041413F" w:rsidP="002F614D">
      <w:pPr>
        <w:tabs>
          <w:tab w:val="left" w:pos="3720"/>
          <w:tab w:val="center" w:pos="4419"/>
        </w:tabs>
        <w:autoSpaceDE w:val="0"/>
        <w:autoSpaceDN w:val="0"/>
        <w:adjustRightInd w:val="0"/>
        <w:spacing w:after="0" w:line="360" w:lineRule="auto"/>
        <w:jc w:val="center"/>
        <w:rPr>
          <w:rFonts w:ascii="Gotham" w:hAnsi="Gotham" w:cs="Century Gothic"/>
          <w:b/>
          <w:bCs/>
          <w:color w:val="000000"/>
        </w:rPr>
      </w:pPr>
      <w:r w:rsidRPr="00320D16">
        <w:rPr>
          <w:rFonts w:ascii="Gotham" w:hAnsi="Gotham" w:cs="Century Gothic"/>
          <w:b/>
          <w:bCs/>
          <w:color w:val="000000"/>
        </w:rPr>
        <w:t xml:space="preserve">Variación Anual de Trabajadores Asegurados al IMSS </w:t>
      </w:r>
    </w:p>
    <w:p w:rsidR="0041413F" w:rsidRPr="00320D16" w:rsidRDefault="0041413F" w:rsidP="002F614D">
      <w:pPr>
        <w:tabs>
          <w:tab w:val="left" w:pos="3720"/>
          <w:tab w:val="center" w:pos="4419"/>
        </w:tabs>
        <w:autoSpaceDE w:val="0"/>
        <w:autoSpaceDN w:val="0"/>
        <w:adjustRightInd w:val="0"/>
        <w:spacing w:after="0" w:line="360" w:lineRule="auto"/>
        <w:jc w:val="center"/>
        <w:rPr>
          <w:rFonts w:ascii="Gotham" w:hAnsi="Gotham" w:cs="Century Gothic"/>
          <w:bCs/>
          <w:color w:val="000000"/>
        </w:rPr>
      </w:pPr>
      <w:r w:rsidRPr="00320D16">
        <w:rPr>
          <w:rFonts w:ascii="Gotham" w:hAnsi="Gotham" w:cs="Century Gothic"/>
          <w:bCs/>
          <w:color w:val="000000"/>
        </w:rPr>
        <w:t>(Miles de cotizantes)</w:t>
      </w:r>
    </w:p>
    <w:p w:rsidR="0041413F" w:rsidRPr="00320D16" w:rsidRDefault="00C52FC9" w:rsidP="00320D16">
      <w:pPr>
        <w:tabs>
          <w:tab w:val="left" w:pos="3720"/>
          <w:tab w:val="center" w:pos="4419"/>
        </w:tabs>
        <w:autoSpaceDE w:val="0"/>
        <w:autoSpaceDN w:val="0"/>
        <w:adjustRightInd w:val="0"/>
        <w:spacing w:line="360" w:lineRule="auto"/>
        <w:jc w:val="center"/>
        <w:rPr>
          <w:rFonts w:ascii="Gotham" w:hAnsi="Gotham" w:cs="Century Gothic"/>
          <w:bCs/>
          <w:color w:val="000000"/>
        </w:rPr>
      </w:pPr>
      <w:r w:rsidRPr="00320D16">
        <w:rPr>
          <w:rFonts w:ascii="Gotham" w:hAnsi="Gotham"/>
          <w:noProof/>
          <w:lang w:eastAsia="es-MX"/>
        </w:rPr>
        <w:drawing>
          <wp:inline distT="0" distB="0" distL="0" distR="0" wp14:anchorId="553C3699" wp14:editId="02076700">
            <wp:extent cx="5715000" cy="2678397"/>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7796" cy="2679707"/>
                    </a:xfrm>
                    <a:prstGeom prst="rect">
                      <a:avLst/>
                    </a:prstGeom>
                    <a:noFill/>
                    <a:ln>
                      <a:noFill/>
                    </a:ln>
                  </pic:spPr>
                </pic:pic>
              </a:graphicData>
            </a:graphic>
          </wp:inline>
        </w:drawing>
      </w:r>
    </w:p>
    <w:p w:rsidR="0041413F" w:rsidRPr="00320D16" w:rsidRDefault="0041413F" w:rsidP="00320D16">
      <w:pPr>
        <w:spacing w:line="360" w:lineRule="auto"/>
        <w:rPr>
          <w:rFonts w:ascii="Gotham" w:hAnsi="Gotham"/>
        </w:rPr>
      </w:pPr>
      <w:r w:rsidRPr="00320D16">
        <w:rPr>
          <w:rFonts w:ascii="Gotham" w:hAnsi="Gotham"/>
        </w:rPr>
        <w:t>En cuanto a la tasa de desocupación de Chiapas en 2020, esta se ubicó al primer trimestre en 2.6 por ciento, disminuyendo 0.5 por ciento, con respecto al mismo trimestre del año anterior y menor en 0.8 por ciento con respecto a la registrada a nivel nacional en mismo periodo.</w:t>
      </w:r>
    </w:p>
    <w:p w:rsidR="0041413F" w:rsidRPr="00320D16" w:rsidRDefault="0041413F" w:rsidP="00320D16">
      <w:pPr>
        <w:tabs>
          <w:tab w:val="left" w:pos="3720"/>
          <w:tab w:val="center" w:pos="4419"/>
        </w:tabs>
        <w:autoSpaceDE w:val="0"/>
        <w:autoSpaceDN w:val="0"/>
        <w:adjustRightInd w:val="0"/>
        <w:spacing w:line="360" w:lineRule="auto"/>
        <w:jc w:val="center"/>
        <w:rPr>
          <w:rFonts w:ascii="Gotham" w:hAnsi="Gotham" w:cs="Century Gothic"/>
          <w:b/>
          <w:bCs/>
          <w:color w:val="000000"/>
        </w:rPr>
      </w:pPr>
    </w:p>
    <w:p w:rsidR="0041413F" w:rsidRPr="00320D16" w:rsidRDefault="0041413F" w:rsidP="002F614D">
      <w:pPr>
        <w:tabs>
          <w:tab w:val="left" w:pos="3720"/>
          <w:tab w:val="center" w:pos="4419"/>
        </w:tabs>
        <w:autoSpaceDE w:val="0"/>
        <w:autoSpaceDN w:val="0"/>
        <w:adjustRightInd w:val="0"/>
        <w:spacing w:after="0" w:line="360" w:lineRule="auto"/>
        <w:jc w:val="center"/>
        <w:rPr>
          <w:rFonts w:ascii="Gotham" w:hAnsi="Gotham" w:cs="Century Gothic"/>
          <w:b/>
          <w:bCs/>
          <w:color w:val="000000"/>
        </w:rPr>
      </w:pPr>
      <w:r w:rsidRPr="00320D16">
        <w:rPr>
          <w:rFonts w:ascii="Gotham" w:hAnsi="Gotham" w:cs="Century Gothic"/>
          <w:b/>
          <w:bCs/>
          <w:color w:val="000000"/>
        </w:rPr>
        <w:t>Gráfica I.10.</w:t>
      </w:r>
    </w:p>
    <w:p w:rsidR="0041413F" w:rsidRPr="00320D16" w:rsidRDefault="0041413F" w:rsidP="002F614D">
      <w:pPr>
        <w:tabs>
          <w:tab w:val="left" w:pos="3720"/>
          <w:tab w:val="center" w:pos="4419"/>
        </w:tabs>
        <w:autoSpaceDE w:val="0"/>
        <w:autoSpaceDN w:val="0"/>
        <w:adjustRightInd w:val="0"/>
        <w:spacing w:after="0" w:line="360" w:lineRule="auto"/>
        <w:jc w:val="center"/>
        <w:rPr>
          <w:rFonts w:ascii="Gotham" w:hAnsi="Gotham" w:cs="Century Gothic"/>
          <w:b/>
          <w:bCs/>
          <w:color w:val="000000"/>
        </w:rPr>
      </w:pPr>
      <w:r w:rsidRPr="00320D16">
        <w:rPr>
          <w:rFonts w:ascii="Gotham" w:hAnsi="Gotham" w:cs="Century Gothic"/>
          <w:b/>
          <w:bCs/>
          <w:color w:val="000000"/>
        </w:rPr>
        <w:t>Tasa de Desocupación</w:t>
      </w:r>
    </w:p>
    <w:p w:rsidR="0041413F" w:rsidRPr="00320D16" w:rsidRDefault="0041413F" w:rsidP="002F614D">
      <w:pPr>
        <w:tabs>
          <w:tab w:val="left" w:pos="3720"/>
          <w:tab w:val="center" w:pos="4419"/>
        </w:tabs>
        <w:autoSpaceDE w:val="0"/>
        <w:autoSpaceDN w:val="0"/>
        <w:adjustRightInd w:val="0"/>
        <w:spacing w:after="0" w:line="360" w:lineRule="auto"/>
        <w:jc w:val="center"/>
        <w:rPr>
          <w:rFonts w:ascii="Gotham" w:hAnsi="Gotham" w:cs="Century Gothic"/>
          <w:bCs/>
          <w:color w:val="000000"/>
        </w:rPr>
      </w:pPr>
      <w:r w:rsidRPr="00320D16">
        <w:rPr>
          <w:rFonts w:ascii="Gotham" w:hAnsi="Gotham" w:cs="Century Gothic"/>
          <w:bCs/>
          <w:color w:val="000000"/>
        </w:rPr>
        <w:t>(Tasa Porcentual)</w:t>
      </w:r>
    </w:p>
    <w:p w:rsidR="0041413F" w:rsidRPr="00320D16" w:rsidRDefault="0041413F" w:rsidP="00320D16">
      <w:pPr>
        <w:tabs>
          <w:tab w:val="left" w:pos="3720"/>
          <w:tab w:val="center" w:pos="4419"/>
        </w:tabs>
        <w:autoSpaceDE w:val="0"/>
        <w:autoSpaceDN w:val="0"/>
        <w:adjustRightInd w:val="0"/>
        <w:spacing w:line="360" w:lineRule="auto"/>
        <w:jc w:val="center"/>
        <w:rPr>
          <w:rFonts w:ascii="Gotham" w:hAnsi="Gotham" w:cs="Century Gothic"/>
          <w:b/>
          <w:bCs/>
          <w:color w:val="000000"/>
        </w:rPr>
      </w:pPr>
      <w:r w:rsidRPr="00320D16">
        <w:rPr>
          <w:rFonts w:ascii="Gotham" w:hAnsi="Gotham"/>
          <w:noProof/>
          <w:lang w:eastAsia="es-MX"/>
        </w:rPr>
        <w:drawing>
          <wp:inline distT="0" distB="0" distL="0" distR="0" wp14:anchorId="78075099" wp14:editId="4BABECED">
            <wp:extent cx="3914775" cy="226306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22218" cy="2267364"/>
                    </a:xfrm>
                    <a:prstGeom prst="rect">
                      <a:avLst/>
                    </a:prstGeom>
                    <a:noFill/>
                    <a:ln>
                      <a:noFill/>
                    </a:ln>
                  </pic:spPr>
                </pic:pic>
              </a:graphicData>
            </a:graphic>
          </wp:inline>
        </w:drawing>
      </w:r>
    </w:p>
    <w:p w:rsidR="00CA3A9E" w:rsidRPr="00320D16" w:rsidRDefault="00CA3A9E" w:rsidP="00320D16">
      <w:pPr>
        <w:spacing w:line="360" w:lineRule="auto"/>
        <w:rPr>
          <w:rFonts w:ascii="Gotham" w:hAnsi="Gotham"/>
          <w:b/>
          <w:color w:val="000000"/>
          <w:highlight w:val="green"/>
          <w:lang w:eastAsia="es-MX"/>
        </w:rPr>
      </w:pPr>
    </w:p>
    <w:p w:rsidR="0041413F" w:rsidRPr="00320D16" w:rsidRDefault="0041413F" w:rsidP="00320D16">
      <w:pPr>
        <w:spacing w:line="360" w:lineRule="auto"/>
        <w:rPr>
          <w:rFonts w:ascii="Gotham" w:hAnsi="Gotham"/>
          <w:b/>
          <w:color w:val="000000"/>
          <w:lang w:eastAsia="es-MX"/>
        </w:rPr>
      </w:pPr>
      <w:r w:rsidRPr="00320D16">
        <w:rPr>
          <w:rFonts w:ascii="Gotham" w:hAnsi="Gotham"/>
          <w:b/>
          <w:color w:val="000000"/>
          <w:lang w:eastAsia="es-MX"/>
        </w:rPr>
        <w:t>I.3.3 Evolución de la Inflación</w:t>
      </w:r>
    </w:p>
    <w:p w:rsidR="0041413F" w:rsidRPr="00320D16" w:rsidRDefault="0041413F" w:rsidP="00320D16">
      <w:pPr>
        <w:spacing w:line="360" w:lineRule="auto"/>
        <w:rPr>
          <w:rFonts w:ascii="Gotham" w:hAnsi="Gotham"/>
        </w:rPr>
      </w:pPr>
      <w:r w:rsidRPr="00320D16">
        <w:rPr>
          <w:rFonts w:ascii="Gotham" w:hAnsi="Gotham"/>
        </w:rPr>
        <w:t xml:space="preserve">La evolución de la tendencia inflacionaria en la entidad chiapaneca, </w:t>
      </w:r>
      <w:r w:rsidR="00DC1AA9" w:rsidRPr="00320D16">
        <w:rPr>
          <w:rFonts w:ascii="Gotham" w:hAnsi="Gotham"/>
        </w:rPr>
        <w:t xml:space="preserve">es de un </w:t>
      </w:r>
      <w:r w:rsidRPr="00320D16">
        <w:rPr>
          <w:rFonts w:ascii="Gotham" w:hAnsi="Gotham"/>
        </w:rPr>
        <w:t>alza en el aumento generalizado y sostenido de los precios de bienes y servicios de la canasta básica durante lo que va del año, motivado especialmente por el efecto de la pandemia que ha venido a repercutir severamente en los precios de los artículos de necesidad básica para la población de bajo ingreso o más vulnerable de la entidad.</w:t>
      </w:r>
    </w:p>
    <w:p w:rsidR="00DC1AA9" w:rsidRPr="00320D16" w:rsidRDefault="007F4230" w:rsidP="002F614D">
      <w:pPr>
        <w:spacing w:line="360" w:lineRule="auto"/>
        <w:rPr>
          <w:rFonts w:ascii="Gotham" w:hAnsi="Gotham" w:cs="Century Gothic"/>
          <w:b/>
          <w:bCs/>
          <w:color w:val="000000"/>
        </w:rPr>
      </w:pPr>
      <w:r w:rsidRPr="00320D16">
        <w:rPr>
          <w:rFonts w:ascii="Gotham" w:hAnsi="Gotham"/>
        </w:rPr>
        <w:t>Al mes de noviembre</w:t>
      </w:r>
      <w:r w:rsidR="0041413F" w:rsidRPr="00320D16">
        <w:rPr>
          <w:rFonts w:ascii="Gotham" w:hAnsi="Gotham"/>
        </w:rPr>
        <w:t xml:space="preserve"> de 2020, la inflación del Estado de Chiapas se ubicó en 5.</w:t>
      </w:r>
      <w:r w:rsidRPr="00320D16">
        <w:rPr>
          <w:rFonts w:ascii="Gotham" w:hAnsi="Gotham"/>
        </w:rPr>
        <w:t>4</w:t>
      </w:r>
      <w:r w:rsidR="0041413F" w:rsidRPr="00320D16">
        <w:rPr>
          <w:rFonts w:ascii="Gotham" w:hAnsi="Gotham"/>
        </w:rPr>
        <w:t xml:space="preserve"> por ciento, incremento que comparado al cierre de 2019 fue de </w:t>
      </w:r>
      <w:r w:rsidRPr="00320D16">
        <w:rPr>
          <w:rFonts w:ascii="Gotham" w:hAnsi="Gotham"/>
        </w:rPr>
        <w:t>2.8</w:t>
      </w:r>
      <w:r w:rsidR="0041413F" w:rsidRPr="00320D16">
        <w:rPr>
          <w:rFonts w:ascii="Gotham" w:hAnsi="Gotham"/>
        </w:rPr>
        <w:t xml:space="preserve"> por ciento; durante este año ha mostrado una tendencia a la alza, por lo que, se espera que al cierre del 2020 se ubique en 3.5 por ciento, de acuerdo a lo proyectado en los CGPE 2021 para la economía nacional; mientras que el Banco de México mantiene una estimación para 2020 de 3.0 por ciento, con un intervalo de variabilidad de más/menos un punto porcentual.</w:t>
      </w:r>
    </w:p>
    <w:p w:rsidR="00DC1AA9" w:rsidRPr="00320D16" w:rsidRDefault="00DC1AA9" w:rsidP="00320D16">
      <w:pPr>
        <w:tabs>
          <w:tab w:val="left" w:pos="3720"/>
          <w:tab w:val="center" w:pos="4419"/>
        </w:tabs>
        <w:autoSpaceDE w:val="0"/>
        <w:autoSpaceDN w:val="0"/>
        <w:adjustRightInd w:val="0"/>
        <w:spacing w:line="360" w:lineRule="auto"/>
        <w:jc w:val="center"/>
        <w:rPr>
          <w:rFonts w:ascii="Gotham" w:hAnsi="Gotham" w:cs="Century Gothic"/>
          <w:b/>
          <w:bCs/>
          <w:color w:val="000000"/>
        </w:rPr>
      </w:pPr>
    </w:p>
    <w:p w:rsidR="0041413F" w:rsidRPr="00320D16" w:rsidRDefault="0041413F" w:rsidP="002F614D">
      <w:pPr>
        <w:tabs>
          <w:tab w:val="left" w:pos="3720"/>
          <w:tab w:val="center" w:pos="4419"/>
        </w:tabs>
        <w:autoSpaceDE w:val="0"/>
        <w:autoSpaceDN w:val="0"/>
        <w:adjustRightInd w:val="0"/>
        <w:spacing w:after="0" w:line="360" w:lineRule="auto"/>
        <w:jc w:val="center"/>
        <w:rPr>
          <w:rFonts w:ascii="Gotham" w:hAnsi="Gotham" w:cs="Century Gothic"/>
          <w:b/>
          <w:bCs/>
          <w:color w:val="000000"/>
        </w:rPr>
      </w:pPr>
      <w:r w:rsidRPr="00320D16">
        <w:rPr>
          <w:rFonts w:ascii="Gotham" w:hAnsi="Gotham" w:cs="Century Gothic"/>
          <w:b/>
          <w:bCs/>
          <w:color w:val="000000"/>
        </w:rPr>
        <w:t>Gráfica I.11.</w:t>
      </w:r>
    </w:p>
    <w:p w:rsidR="0041413F" w:rsidRPr="00320D16" w:rsidRDefault="0041413F" w:rsidP="002F614D">
      <w:pPr>
        <w:tabs>
          <w:tab w:val="left" w:pos="3720"/>
          <w:tab w:val="center" w:pos="4419"/>
        </w:tabs>
        <w:autoSpaceDE w:val="0"/>
        <w:autoSpaceDN w:val="0"/>
        <w:adjustRightInd w:val="0"/>
        <w:spacing w:after="0" w:line="360" w:lineRule="auto"/>
        <w:jc w:val="center"/>
        <w:rPr>
          <w:rFonts w:ascii="Gotham" w:hAnsi="Gotham" w:cs="Century Gothic"/>
          <w:b/>
          <w:bCs/>
          <w:color w:val="000000"/>
        </w:rPr>
      </w:pPr>
      <w:r w:rsidRPr="00320D16">
        <w:rPr>
          <w:rFonts w:ascii="Gotham" w:hAnsi="Gotham" w:cs="Century Gothic"/>
          <w:b/>
          <w:bCs/>
          <w:color w:val="000000"/>
        </w:rPr>
        <w:t xml:space="preserve">Inflación de Chiapas </w:t>
      </w:r>
    </w:p>
    <w:p w:rsidR="0041413F" w:rsidRPr="00320D16" w:rsidRDefault="0041413F" w:rsidP="002F614D">
      <w:pPr>
        <w:tabs>
          <w:tab w:val="left" w:pos="3720"/>
          <w:tab w:val="center" w:pos="4419"/>
        </w:tabs>
        <w:autoSpaceDE w:val="0"/>
        <w:autoSpaceDN w:val="0"/>
        <w:adjustRightInd w:val="0"/>
        <w:spacing w:after="0" w:line="360" w:lineRule="auto"/>
        <w:jc w:val="center"/>
        <w:rPr>
          <w:rFonts w:ascii="Gotham" w:hAnsi="Gotham" w:cs="Century Gothic"/>
          <w:bCs/>
          <w:color w:val="000000"/>
        </w:rPr>
      </w:pPr>
      <w:r w:rsidRPr="00320D16">
        <w:rPr>
          <w:rFonts w:ascii="Gotham" w:hAnsi="Gotham" w:cs="Century Gothic"/>
          <w:bCs/>
          <w:color w:val="000000"/>
        </w:rPr>
        <w:t>(Tasa Porcentual)</w:t>
      </w:r>
    </w:p>
    <w:p w:rsidR="0041413F" w:rsidRPr="00320D16" w:rsidRDefault="007F4230" w:rsidP="00320D16">
      <w:pPr>
        <w:spacing w:line="360" w:lineRule="auto"/>
        <w:jc w:val="center"/>
        <w:rPr>
          <w:rFonts w:ascii="Gotham" w:hAnsi="Gotham"/>
          <w:b/>
          <w:color w:val="000000"/>
          <w:highlight w:val="green"/>
          <w:lang w:eastAsia="es-MX"/>
        </w:rPr>
      </w:pPr>
      <w:r w:rsidRPr="00320D16">
        <w:rPr>
          <w:rFonts w:ascii="Gotham" w:hAnsi="Gotham"/>
          <w:noProof/>
          <w:lang w:eastAsia="es-MX"/>
        </w:rPr>
        <w:drawing>
          <wp:inline distT="0" distB="0" distL="0" distR="0" wp14:anchorId="71B61ACC" wp14:editId="722EF7B9">
            <wp:extent cx="5172075" cy="2131144"/>
            <wp:effectExtent l="0" t="0" r="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73831" cy="2131868"/>
                    </a:xfrm>
                    <a:prstGeom prst="rect">
                      <a:avLst/>
                    </a:prstGeom>
                    <a:noFill/>
                    <a:ln>
                      <a:noFill/>
                    </a:ln>
                  </pic:spPr>
                </pic:pic>
              </a:graphicData>
            </a:graphic>
          </wp:inline>
        </w:drawing>
      </w:r>
    </w:p>
    <w:p w:rsidR="0041413F" w:rsidRDefault="0041413F" w:rsidP="00320D16">
      <w:pPr>
        <w:spacing w:line="360" w:lineRule="auto"/>
        <w:rPr>
          <w:rFonts w:ascii="Gotham" w:hAnsi="Gotham"/>
          <w:b/>
          <w:color w:val="000000"/>
          <w:highlight w:val="green"/>
          <w:lang w:eastAsia="es-MX"/>
        </w:rPr>
      </w:pPr>
    </w:p>
    <w:p w:rsidR="002F614D" w:rsidRDefault="002F614D" w:rsidP="00320D16">
      <w:pPr>
        <w:spacing w:line="360" w:lineRule="auto"/>
        <w:rPr>
          <w:rFonts w:ascii="Gotham" w:hAnsi="Gotham"/>
          <w:b/>
          <w:color w:val="000000"/>
          <w:highlight w:val="green"/>
          <w:lang w:eastAsia="es-MX"/>
        </w:rPr>
      </w:pPr>
    </w:p>
    <w:p w:rsidR="002F614D" w:rsidRDefault="002F614D" w:rsidP="00320D16">
      <w:pPr>
        <w:spacing w:line="360" w:lineRule="auto"/>
        <w:rPr>
          <w:rFonts w:ascii="Gotham" w:hAnsi="Gotham"/>
          <w:b/>
          <w:color w:val="000000"/>
          <w:highlight w:val="green"/>
          <w:lang w:eastAsia="es-MX"/>
        </w:rPr>
      </w:pPr>
    </w:p>
    <w:p w:rsidR="002F614D" w:rsidRDefault="002F614D" w:rsidP="00320D16">
      <w:pPr>
        <w:spacing w:line="360" w:lineRule="auto"/>
        <w:rPr>
          <w:rFonts w:ascii="Gotham" w:hAnsi="Gotham"/>
          <w:b/>
          <w:color w:val="000000"/>
          <w:highlight w:val="green"/>
          <w:lang w:eastAsia="es-MX"/>
        </w:rPr>
      </w:pPr>
    </w:p>
    <w:p w:rsidR="002F614D" w:rsidRPr="00320D16" w:rsidRDefault="002F614D" w:rsidP="00320D16">
      <w:pPr>
        <w:spacing w:line="360" w:lineRule="auto"/>
        <w:rPr>
          <w:rFonts w:ascii="Gotham" w:hAnsi="Gotham"/>
          <w:b/>
          <w:color w:val="000000"/>
          <w:highlight w:val="green"/>
          <w:lang w:eastAsia="es-MX"/>
        </w:rPr>
      </w:pPr>
    </w:p>
    <w:p w:rsidR="0041413F" w:rsidRPr="00320D16" w:rsidRDefault="0041413F" w:rsidP="00320D16">
      <w:pPr>
        <w:spacing w:line="360" w:lineRule="auto"/>
        <w:rPr>
          <w:rFonts w:ascii="Gotham" w:hAnsi="Gotham"/>
          <w:b/>
          <w:color w:val="000000"/>
          <w:lang w:eastAsia="es-MX"/>
        </w:rPr>
      </w:pPr>
      <w:r w:rsidRPr="00320D16">
        <w:rPr>
          <w:rFonts w:ascii="Gotham" w:hAnsi="Gotham"/>
          <w:b/>
          <w:color w:val="000000"/>
          <w:lang w:eastAsia="es-MX"/>
        </w:rPr>
        <w:t>I.3.4 Captación de Remesas</w:t>
      </w:r>
    </w:p>
    <w:p w:rsidR="0041413F" w:rsidRDefault="0041413F" w:rsidP="00320D16">
      <w:pPr>
        <w:spacing w:line="360" w:lineRule="auto"/>
        <w:rPr>
          <w:rFonts w:ascii="Gotham" w:hAnsi="Gotham"/>
        </w:rPr>
      </w:pPr>
      <w:r w:rsidRPr="00320D16">
        <w:rPr>
          <w:rFonts w:ascii="Gotham" w:hAnsi="Gotham"/>
        </w:rPr>
        <w:t>La captación de rem</w:t>
      </w:r>
      <w:r w:rsidR="00B45D53" w:rsidRPr="00320D16">
        <w:rPr>
          <w:rFonts w:ascii="Gotham" w:hAnsi="Gotham"/>
        </w:rPr>
        <w:t>e</w:t>
      </w:r>
      <w:r w:rsidRPr="00320D16">
        <w:rPr>
          <w:rFonts w:ascii="Gotham" w:hAnsi="Gotham"/>
        </w:rPr>
        <w:t xml:space="preserve">sas ha sido de suma importancia para la entidad ya que dicho recurso </w:t>
      </w:r>
      <w:r w:rsidR="00B45D53" w:rsidRPr="00320D16">
        <w:rPr>
          <w:rFonts w:ascii="Gotham" w:hAnsi="Gotham"/>
        </w:rPr>
        <w:t>contribuye</w:t>
      </w:r>
      <w:r w:rsidRPr="00320D16">
        <w:rPr>
          <w:rFonts w:ascii="Gotham" w:hAnsi="Gotham"/>
        </w:rPr>
        <w:t xml:space="preserve"> como fuente de ingresos </w:t>
      </w:r>
      <w:r w:rsidR="00B45D53" w:rsidRPr="00320D16">
        <w:rPr>
          <w:rFonts w:ascii="Gotham" w:hAnsi="Gotham"/>
        </w:rPr>
        <w:t>para</w:t>
      </w:r>
      <w:r w:rsidRPr="00320D16">
        <w:rPr>
          <w:rFonts w:ascii="Gotham" w:hAnsi="Gotham"/>
        </w:rPr>
        <w:t xml:space="preserve"> las familias chiapanecas dinamizando </w:t>
      </w:r>
      <w:r w:rsidR="00B45D53" w:rsidRPr="00320D16">
        <w:rPr>
          <w:rFonts w:ascii="Gotham" w:hAnsi="Gotham"/>
        </w:rPr>
        <w:t xml:space="preserve">el consumo y </w:t>
      </w:r>
      <w:r w:rsidRPr="00320D16">
        <w:rPr>
          <w:rFonts w:ascii="Gotham" w:hAnsi="Gotham"/>
        </w:rPr>
        <w:t xml:space="preserve">los sectores </w:t>
      </w:r>
      <w:r w:rsidR="00B45D53" w:rsidRPr="00320D16">
        <w:rPr>
          <w:rFonts w:ascii="Gotham" w:hAnsi="Gotham"/>
        </w:rPr>
        <w:t xml:space="preserve">de </w:t>
      </w:r>
      <w:r w:rsidRPr="00320D16">
        <w:rPr>
          <w:rFonts w:ascii="Gotham" w:hAnsi="Gotham"/>
        </w:rPr>
        <w:t>educación, vivienda; etc. No obstante, las restricciones implementada</w:t>
      </w:r>
      <w:r w:rsidR="00BF76BD" w:rsidRPr="00320D16">
        <w:rPr>
          <w:rFonts w:ascii="Gotham" w:hAnsi="Gotham"/>
        </w:rPr>
        <w:t>s</w:t>
      </w:r>
      <w:r w:rsidRPr="00320D16">
        <w:rPr>
          <w:rFonts w:ascii="Gotham" w:hAnsi="Gotham"/>
        </w:rPr>
        <w:t xml:space="preserve"> por Estados Unidos, específicamente en la migratoria</w:t>
      </w:r>
      <w:r w:rsidR="00BF76BD" w:rsidRPr="00320D16">
        <w:rPr>
          <w:rFonts w:ascii="Gotham" w:hAnsi="Gotham"/>
        </w:rPr>
        <w:t>, la tendencia de las remesas ha sido variante</w:t>
      </w:r>
      <w:r w:rsidRPr="00320D16">
        <w:rPr>
          <w:rFonts w:ascii="Gotham" w:hAnsi="Gotham"/>
        </w:rPr>
        <w:t>. Sin embargo, durante el primer y tercer trimestre del año se ha incrementado en 12.5 y 18.2 por ciento comparado con igual periodo anterior.</w:t>
      </w:r>
    </w:p>
    <w:p w:rsidR="002F614D" w:rsidRPr="00320D16" w:rsidRDefault="002F614D" w:rsidP="00320D16">
      <w:pPr>
        <w:spacing w:line="360" w:lineRule="auto"/>
        <w:rPr>
          <w:rFonts w:ascii="Gotham" w:hAnsi="Gotham"/>
        </w:rPr>
      </w:pPr>
    </w:p>
    <w:p w:rsidR="0041413F" w:rsidRPr="00320D16" w:rsidRDefault="0041413F" w:rsidP="002F614D">
      <w:pPr>
        <w:tabs>
          <w:tab w:val="left" w:pos="3720"/>
          <w:tab w:val="center" w:pos="4419"/>
        </w:tabs>
        <w:autoSpaceDE w:val="0"/>
        <w:autoSpaceDN w:val="0"/>
        <w:adjustRightInd w:val="0"/>
        <w:spacing w:after="0" w:line="360" w:lineRule="auto"/>
        <w:jc w:val="center"/>
        <w:rPr>
          <w:rFonts w:ascii="Gotham" w:hAnsi="Gotham" w:cs="Century Gothic"/>
          <w:b/>
          <w:bCs/>
          <w:color w:val="000000"/>
        </w:rPr>
      </w:pPr>
      <w:r w:rsidRPr="00320D16">
        <w:rPr>
          <w:rFonts w:ascii="Gotham" w:hAnsi="Gotham" w:cs="Century Gothic"/>
          <w:b/>
          <w:bCs/>
          <w:color w:val="000000"/>
        </w:rPr>
        <w:t xml:space="preserve">Gráfica I.12 </w:t>
      </w:r>
    </w:p>
    <w:p w:rsidR="0041413F" w:rsidRDefault="0041413F" w:rsidP="002F614D">
      <w:pPr>
        <w:tabs>
          <w:tab w:val="left" w:pos="3720"/>
          <w:tab w:val="center" w:pos="4419"/>
        </w:tabs>
        <w:autoSpaceDE w:val="0"/>
        <w:autoSpaceDN w:val="0"/>
        <w:adjustRightInd w:val="0"/>
        <w:spacing w:after="0" w:line="360" w:lineRule="auto"/>
        <w:jc w:val="center"/>
        <w:rPr>
          <w:rFonts w:ascii="Gotham" w:hAnsi="Gotham" w:cs="Century Gothic"/>
          <w:b/>
          <w:bCs/>
          <w:color w:val="000000"/>
        </w:rPr>
      </w:pPr>
      <w:r w:rsidRPr="00320D16">
        <w:rPr>
          <w:rFonts w:ascii="Gotham" w:hAnsi="Gotham" w:cs="Century Gothic"/>
          <w:b/>
          <w:bCs/>
          <w:color w:val="000000"/>
        </w:rPr>
        <w:t xml:space="preserve">Remesas </w:t>
      </w:r>
    </w:p>
    <w:p w:rsidR="000968FE" w:rsidRPr="00320D16" w:rsidRDefault="000968FE" w:rsidP="002F614D">
      <w:pPr>
        <w:tabs>
          <w:tab w:val="left" w:pos="3720"/>
          <w:tab w:val="center" w:pos="4419"/>
        </w:tabs>
        <w:autoSpaceDE w:val="0"/>
        <w:autoSpaceDN w:val="0"/>
        <w:adjustRightInd w:val="0"/>
        <w:spacing w:after="0" w:line="360" w:lineRule="auto"/>
        <w:jc w:val="center"/>
        <w:rPr>
          <w:rFonts w:ascii="Gotham" w:hAnsi="Gotham" w:cs="Century Gothic"/>
          <w:b/>
          <w:bCs/>
          <w:color w:val="000000"/>
        </w:rPr>
      </w:pPr>
      <w:r w:rsidRPr="00320D16">
        <w:rPr>
          <w:rFonts w:ascii="Gotham" w:hAnsi="Gotham" w:cs="Century Gothic"/>
          <w:bCs/>
          <w:color w:val="000000"/>
        </w:rPr>
        <w:t>(Millones de dólares)</w:t>
      </w:r>
    </w:p>
    <w:p w:rsidR="0041413F" w:rsidRPr="00320D16" w:rsidRDefault="002F614D" w:rsidP="002F614D">
      <w:pPr>
        <w:tabs>
          <w:tab w:val="left" w:pos="3720"/>
          <w:tab w:val="center" w:pos="4419"/>
        </w:tabs>
        <w:autoSpaceDE w:val="0"/>
        <w:autoSpaceDN w:val="0"/>
        <w:adjustRightInd w:val="0"/>
        <w:spacing w:after="0" w:line="360" w:lineRule="auto"/>
        <w:jc w:val="center"/>
        <w:rPr>
          <w:rFonts w:ascii="Gotham" w:hAnsi="Gotham" w:cs="Century Gothic"/>
          <w:bCs/>
          <w:color w:val="000000"/>
        </w:rPr>
      </w:pPr>
      <w:r w:rsidRPr="00320D16">
        <w:rPr>
          <w:rFonts w:ascii="Gotham" w:hAnsi="Gotham"/>
          <w:noProof/>
          <w:lang w:eastAsia="es-MX"/>
        </w:rPr>
        <w:drawing>
          <wp:anchor distT="0" distB="0" distL="114300" distR="114300" simplePos="0" relativeHeight="251658752" behindDoc="0" locked="0" layoutInCell="1" allowOverlap="1" wp14:anchorId="3DF38EAF" wp14:editId="43B5B52D">
            <wp:simplePos x="0" y="0"/>
            <wp:positionH relativeFrom="margin">
              <wp:align>center</wp:align>
            </wp:positionH>
            <wp:positionV relativeFrom="paragraph">
              <wp:posOffset>163195</wp:posOffset>
            </wp:positionV>
            <wp:extent cx="4876800" cy="2012950"/>
            <wp:effectExtent l="0" t="0" r="0" b="635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76800" cy="201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413F" w:rsidRPr="00320D16" w:rsidRDefault="0041413F" w:rsidP="00320D16">
      <w:pPr>
        <w:spacing w:line="360" w:lineRule="auto"/>
        <w:rPr>
          <w:rFonts w:ascii="Gotham" w:hAnsi="Gotham"/>
          <w:b/>
          <w:color w:val="000000"/>
          <w:lang w:eastAsia="es-MX"/>
        </w:rPr>
      </w:pPr>
      <w:bookmarkStart w:id="0" w:name="_GoBack"/>
      <w:bookmarkEnd w:id="0"/>
      <w:r w:rsidRPr="00320D16">
        <w:rPr>
          <w:rFonts w:ascii="Gotham" w:hAnsi="Gotham"/>
          <w:b/>
          <w:color w:val="000000"/>
          <w:lang w:eastAsia="es-MX"/>
        </w:rPr>
        <w:t>I.4 Expectativas Económicas para Chiapas 2021</w:t>
      </w:r>
    </w:p>
    <w:p w:rsidR="0041413F" w:rsidRPr="00320D16" w:rsidRDefault="0041413F" w:rsidP="00320D16">
      <w:pPr>
        <w:spacing w:line="360" w:lineRule="auto"/>
        <w:rPr>
          <w:rFonts w:ascii="Gotham" w:hAnsi="Gotham"/>
        </w:rPr>
      </w:pPr>
      <w:r w:rsidRPr="00320D16">
        <w:rPr>
          <w:rFonts w:ascii="Gotham" w:hAnsi="Gotham"/>
        </w:rPr>
        <w:t>Las expectativas económicas para</w:t>
      </w:r>
      <w:r w:rsidR="007431C5" w:rsidRPr="00320D16">
        <w:rPr>
          <w:rFonts w:ascii="Gotham" w:hAnsi="Gotham"/>
        </w:rPr>
        <w:t xml:space="preserve"> Chiapas son inciertas, </w:t>
      </w:r>
      <w:r w:rsidR="00DE7F02" w:rsidRPr="00320D16">
        <w:rPr>
          <w:rFonts w:ascii="Gotham" w:hAnsi="Gotham"/>
        </w:rPr>
        <w:t xml:space="preserve">se </w:t>
      </w:r>
      <w:r w:rsidRPr="00320D16">
        <w:rPr>
          <w:rFonts w:ascii="Gotham" w:hAnsi="Gotham"/>
        </w:rPr>
        <w:t xml:space="preserve">espera que </w:t>
      </w:r>
      <w:r w:rsidR="00DE7F02" w:rsidRPr="00320D16">
        <w:rPr>
          <w:rFonts w:ascii="Gotham" w:hAnsi="Gotham"/>
        </w:rPr>
        <w:t xml:space="preserve">el comportamiento en 2021 </w:t>
      </w:r>
      <w:r w:rsidRPr="00320D16">
        <w:rPr>
          <w:rFonts w:ascii="Gotham" w:hAnsi="Gotham"/>
        </w:rPr>
        <w:t xml:space="preserve">se mantenga en línea con las </w:t>
      </w:r>
      <w:r w:rsidR="00922830" w:rsidRPr="00320D16">
        <w:rPr>
          <w:rFonts w:ascii="Gotham" w:hAnsi="Gotham"/>
        </w:rPr>
        <w:t>políticas y medidas p</w:t>
      </w:r>
      <w:r w:rsidRPr="00320D16">
        <w:rPr>
          <w:rFonts w:ascii="Gotham" w:hAnsi="Gotham"/>
        </w:rPr>
        <w:t>royectad</w:t>
      </w:r>
      <w:r w:rsidR="007F4242" w:rsidRPr="00320D16">
        <w:rPr>
          <w:rFonts w:ascii="Gotham" w:hAnsi="Gotham"/>
        </w:rPr>
        <w:t>a</w:t>
      </w:r>
      <w:r w:rsidRPr="00320D16">
        <w:rPr>
          <w:rFonts w:ascii="Gotham" w:hAnsi="Gotham"/>
        </w:rPr>
        <w:t>s a nivel nacional</w:t>
      </w:r>
      <w:r w:rsidR="007F4242" w:rsidRPr="00320D16">
        <w:rPr>
          <w:rFonts w:ascii="Gotham" w:hAnsi="Gotham"/>
        </w:rPr>
        <w:t xml:space="preserve">, mismos que </w:t>
      </w:r>
      <w:r w:rsidRPr="00320D16">
        <w:rPr>
          <w:rFonts w:ascii="Gotham" w:hAnsi="Gotham"/>
        </w:rPr>
        <w:t xml:space="preserve">se resumen en los puntos siguientes: </w:t>
      </w:r>
    </w:p>
    <w:p w:rsidR="0041413F" w:rsidRPr="00320D16" w:rsidRDefault="0041413F" w:rsidP="00320D16">
      <w:pPr>
        <w:spacing w:line="360" w:lineRule="auto"/>
        <w:ind w:left="142" w:hanging="142"/>
        <w:rPr>
          <w:rFonts w:ascii="Gotham" w:hAnsi="Gotham"/>
        </w:rPr>
      </w:pPr>
      <w:r w:rsidRPr="00320D16">
        <w:rPr>
          <w:rFonts w:ascii="Gotham" w:hAnsi="Gotham" w:cstheme="minorHAnsi"/>
        </w:rPr>
        <w:sym w:font="Symbol" w:char="F0B7"/>
      </w:r>
      <w:r w:rsidRPr="00320D16">
        <w:rPr>
          <w:rFonts w:ascii="Gotham" w:hAnsi="Gotham" w:cstheme="minorHAnsi"/>
        </w:rPr>
        <w:t xml:space="preserve"> </w:t>
      </w:r>
      <w:r w:rsidRPr="00320D16">
        <w:rPr>
          <w:rFonts w:ascii="Gotham" w:hAnsi="Gotham"/>
        </w:rPr>
        <w:t>Para el 2021, se espera para Chiapas un escenario de recuperación favorable y congruente con las cifras proyectadas a nivel nacional, mismo que se estima en un rango de 4.6 aunque, se mantiene la expectativa de riesgos a nivel mundial, a causa de la pandemia.</w:t>
      </w:r>
    </w:p>
    <w:p w:rsidR="0041413F" w:rsidRPr="00320D16" w:rsidRDefault="0041413F" w:rsidP="00320D16">
      <w:pPr>
        <w:spacing w:line="360" w:lineRule="auto"/>
        <w:ind w:left="142" w:hanging="142"/>
        <w:rPr>
          <w:rFonts w:ascii="Gotham" w:hAnsi="Gotham" w:cstheme="minorHAnsi"/>
        </w:rPr>
      </w:pPr>
      <w:r w:rsidRPr="00320D16">
        <w:rPr>
          <w:rFonts w:ascii="Gotham" w:hAnsi="Gotham" w:cstheme="minorHAnsi"/>
        </w:rPr>
        <w:sym w:font="Symbol" w:char="F0B7"/>
      </w:r>
      <w:r w:rsidRPr="00320D16">
        <w:rPr>
          <w:rFonts w:ascii="Gotham" w:hAnsi="Gotham" w:cstheme="minorHAnsi"/>
        </w:rPr>
        <w:t xml:space="preserve"> Para 2021, se espera que la inflación se mantenga en línea con lo estimado a nivel nacional que </w:t>
      </w:r>
      <w:r w:rsidR="007F4242" w:rsidRPr="00320D16">
        <w:rPr>
          <w:rFonts w:ascii="Gotham" w:hAnsi="Gotham" w:cstheme="minorHAnsi"/>
        </w:rPr>
        <w:t>equivale a</w:t>
      </w:r>
      <w:r w:rsidRPr="00320D16">
        <w:rPr>
          <w:rFonts w:ascii="Gotham" w:hAnsi="Gotham" w:cstheme="minorHAnsi"/>
        </w:rPr>
        <w:t xml:space="preserve"> una tasa de 3.0 por ciento. </w:t>
      </w:r>
    </w:p>
    <w:p w:rsidR="0041413F" w:rsidRPr="00320D16" w:rsidRDefault="0041413F" w:rsidP="00320D16">
      <w:pPr>
        <w:spacing w:line="360" w:lineRule="auto"/>
        <w:ind w:left="142" w:hanging="142"/>
        <w:rPr>
          <w:rFonts w:ascii="Gotham" w:hAnsi="Gotham" w:cstheme="minorHAnsi"/>
        </w:rPr>
      </w:pPr>
      <w:r w:rsidRPr="00320D16">
        <w:rPr>
          <w:rFonts w:ascii="Gotham" w:hAnsi="Gotham" w:cstheme="minorHAnsi"/>
        </w:rPr>
        <w:lastRenderedPageBreak/>
        <w:sym w:font="Symbol" w:char="F0B7"/>
      </w:r>
      <w:r w:rsidRPr="00320D16">
        <w:rPr>
          <w:rFonts w:ascii="Gotham" w:hAnsi="Gotham" w:cstheme="minorHAnsi"/>
        </w:rPr>
        <w:t xml:space="preserve"> El escenario para las remesas en 2021, se prevé sea positivo y con un crecimiento moderado, siempre y cuando las medidas económicas implementadas por Estados Unidos con la entrante administración en materia de política migratoria no afecten los envíos de remesas. </w:t>
      </w:r>
    </w:p>
    <w:p w:rsidR="0041413F" w:rsidRPr="00320D16" w:rsidRDefault="0041413F" w:rsidP="00320D16">
      <w:pPr>
        <w:spacing w:line="360" w:lineRule="auto"/>
        <w:ind w:left="142" w:hanging="142"/>
        <w:rPr>
          <w:rFonts w:ascii="Gotham" w:hAnsi="Gotham" w:cstheme="minorHAnsi"/>
        </w:rPr>
      </w:pPr>
      <w:r w:rsidRPr="00320D16">
        <w:rPr>
          <w:rFonts w:ascii="Gotham" w:hAnsi="Gotham" w:cstheme="minorHAnsi"/>
        </w:rPr>
        <w:sym w:font="Symbol" w:char="F0B7"/>
      </w:r>
      <w:r w:rsidRPr="00320D16">
        <w:rPr>
          <w:rFonts w:ascii="Gotham" w:hAnsi="Gotham" w:cstheme="minorHAnsi"/>
        </w:rPr>
        <w:t xml:space="preserve"> En materia laboral para 2021, se espera se mantenga un ritmo de recuperación de los empleos permanentes como eventuales que con la pandemia se perdieron por afectación del COVID-19.</w:t>
      </w:r>
    </w:p>
    <w:p w:rsidR="0041413F" w:rsidRPr="00320D16" w:rsidRDefault="0041413F" w:rsidP="00320D16">
      <w:pPr>
        <w:spacing w:line="360" w:lineRule="auto"/>
        <w:ind w:left="142" w:hanging="142"/>
        <w:rPr>
          <w:rFonts w:ascii="Gotham" w:hAnsi="Gotham" w:cstheme="minorHAnsi"/>
        </w:rPr>
      </w:pPr>
      <w:r w:rsidRPr="00320D16">
        <w:rPr>
          <w:rFonts w:ascii="Gotham" w:hAnsi="Gotham" w:cstheme="minorHAnsi"/>
        </w:rPr>
        <w:sym w:font="Symbol" w:char="F0B7"/>
      </w:r>
      <w:r w:rsidRPr="00320D16">
        <w:rPr>
          <w:rFonts w:ascii="Gotham" w:hAnsi="Gotham" w:cstheme="minorHAnsi"/>
        </w:rPr>
        <w:t xml:space="preserve"> </w:t>
      </w:r>
      <w:r w:rsidR="007F4242" w:rsidRPr="00320D16">
        <w:rPr>
          <w:rFonts w:ascii="Gotham" w:hAnsi="Gotham" w:cstheme="minorHAnsi"/>
        </w:rPr>
        <w:t>El Turismo sigue siendo un sector detonante del desarrollo siempre y cuando el protocolo</w:t>
      </w:r>
      <w:r w:rsidR="00DE7F02" w:rsidRPr="00320D16">
        <w:rPr>
          <w:rFonts w:ascii="Gotham" w:hAnsi="Gotham" w:cstheme="minorHAnsi"/>
        </w:rPr>
        <w:t xml:space="preserve"> de medidas</w:t>
      </w:r>
      <w:r w:rsidR="007F4242" w:rsidRPr="00320D16">
        <w:rPr>
          <w:rFonts w:ascii="Gotham" w:hAnsi="Gotham" w:cstheme="minorHAnsi"/>
        </w:rPr>
        <w:t xml:space="preserve"> sanitarias permita el ascenso paulatino de los visitantes. </w:t>
      </w:r>
    </w:p>
    <w:p w:rsidR="000D677F" w:rsidRPr="00320D16" w:rsidRDefault="0041413F" w:rsidP="00320D16">
      <w:pPr>
        <w:spacing w:line="360" w:lineRule="auto"/>
        <w:ind w:left="142" w:hanging="142"/>
        <w:rPr>
          <w:rFonts w:ascii="Gotham" w:hAnsi="Gotham"/>
        </w:rPr>
      </w:pPr>
      <w:r w:rsidRPr="00320D16">
        <w:rPr>
          <w:rFonts w:ascii="Gotham" w:hAnsi="Gotham" w:cstheme="minorHAnsi"/>
        </w:rPr>
        <w:sym w:font="Symbol" w:char="F0B7"/>
      </w:r>
      <w:r w:rsidRPr="00320D16">
        <w:rPr>
          <w:rFonts w:ascii="Gotham" w:hAnsi="Gotham" w:cstheme="minorHAnsi"/>
        </w:rPr>
        <w:t xml:space="preserve"> Se espera que mejore el ascenso de inversionistas nacionales y extranjeras, motivado por la certidumbre de un gobierno enfocado en promover políticas de combate a la corrupción e impunidad, aunado a mejorar las condiciones de seguridad y paz en la entidad. </w:t>
      </w:r>
    </w:p>
    <w:p w:rsidR="000D677F" w:rsidRPr="00320D16" w:rsidRDefault="000D677F" w:rsidP="0046218E">
      <w:pPr>
        <w:spacing w:line="360" w:lineRule="auto"/>
        <w:rPr>
          <w:rFonts w:ascii="Gotham" w:hAnsi="Gotham"/>
        </w:rPr>
      </w:pPr>
    </w:p>
    <w:sectPr w:rsidR="000D677F" w:rsidRPr="00320D16" w:rsidSect="00455922">
      <w:headerReference w:type="default" r:id="rId25"/>
      <w:footerReference w:type="default" r:id="rId26"/>
      <w:pgSz w:w="12240" w:h="15840" w:code="1"/>
      <w:pgMar w:top="1418" w:right="1701" w:bottom="1134" w:left="1701" w:header="737" w:footer="170"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19B8" w:rsidRDefault="005219B8" w:rsidP="00947A10">
      <w:pPr>
        <w:spacing w:after="0" w:line="240" w:lineRule="auto"/>
      </w:pPr>
      <w:r>
        <w:separator/>
      </w:r>
    </w:p>
  </w:endnote>
  <w:endnote w:type="continuationSeparator" w:id="0">
    <w:p w:rsidR="005219B8" w:rsidRDefault="005219B8" w:rsidP="00947A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otham">
    <w:altName w:val="Arial"/>
    <w:panose1 w:val="02000504050000020004"/>
    <w:charset w:val="00"/>
    <w:family w:val="auto"/>
    <w:pitch w:val="variable"/>
    <w:sig w:usb0="800000A7" w:usb1="00000000" w:usb2="00000000" w:usb3="00000000" w:csb0="00000009" w:csb1="00000000"/>
  </w:font>
  <w:font w:name="Calibri">
    <w:panose1 w:val="020F0502020204030204"/>
    <w:charset w:val="00"/>
    <w:family w:val="swiss"/>
    <w:pitch w:val="variable"/>
    <w:sig w:usb0="E00002FF" w:usb1="4000ACFF" w:usb2="00000001" w:usb3="00000000" w:csb0="0000019F" w:csb1="00000000"/>
  </w:font>
  <w:font w:name="Montserrat">
    <w:altName w:val="Montserra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hiangmai Hostel">
    <w:panose1 w:val="00000000000000000000"/>
    <w:charset w:val="00"/>
    <w:family w:val="auto"/>
    <w:pitch w:val="variable"/>
    <w:sig w:usb0="0000002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Italianno">
    <w:panose1 w:val="00000000000000000000"/>
    <w:charset w:val="00"/>
    <w:family w:val="modern"/>
    <w:notTrueType/>
    <w:pitch w:val="variable"/>
    <w:sig w:usb0="800000AF" w:usb1="5000204B"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Gandhi Sans">
    <w:panose1 w:val="00000000000000000000"/>
    <w:charset w:val="00"/>
    <w:family w:val="modern"/>
    <w:notTrueType/>
    <w:pitch w:val="variable"/>
    <w:sig w:usb0="800000AF" w:usb1="5000204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BD5" w:rsidRDefault="00985BD5" w:rsidP="004E53FE">
    <w:pPr>
      <w:pStyle w:val="Piedepgina"/>
      <w:tabs>
        <w:tab w:val="left" w:pos="1035"/>
      </w:tabs>
      <w:jc w:val="center"/>
    </w:pPr>
    <w:r w:rsidRPr="00981E80">
      <w:rPr>
        <w:noProof/>
        <w:lang w:eastAsia="es-MX"/>
      </w:rPr>
      <w:drawing>
        <wp:anchor distT="0" distB="0" distL="114300" distR="114300" simplePos="0" relativeHeight="251668480" behindDoc="1" locked="0" layoutInCell="1" allowOverlap="1" wp14:anchorId="7AC8359C" wp14:editId="6DBD93DC">
          <wp:simplePos x="0" y="0"/>
          <wp:positionH relativeFrom="margin">
            <wp:align>right</wp:align>
          </wp:positionH>
          <wp:positionV relativeFrom="paragraph">
            <wp:posOffset>-227330</wp:posOffset>
          </wp:positionV>
          <wp:extent cx="866775" cy="233533"/>
          <wp:effectExtent l="0" t="0" r="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23353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66432" behindDoc="0" locked="0" layoutInCell="1" allowOverlap="1" wp14:anchorId="342EE44D" wp14:editId="05F9248F">
              <wp:simplePos x="0" y="0"/>
              <wp:positionH relativeFrom="margin">
                <wp:posOffset>-156210</wp:posOffset>
              </wp:positionH>
              <wp:positionV relativeFrom="paragraph">
                <wp:posOffset>-189865</wp:posOffset>
              </wp:positionV>
              <wp:extent cx="1935480" cy="237490"/>
              <wp:effectExtent l="0" t="0" r="0" b="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237490"/>
                      </a:xfrm>
                      <a:prstGeom prst="rect">
                        <a:avLst/>
                      </a:prstGeom>
                      <a:noFill/>
                      <a:ln w="9525">
                        <a:noFill/>
                        <a:miter lim="800000"/>
                        <a:headEnd/>
                        <a:tailEnd/>
                      </a:ln>
                    </wps:spPr>
                    <wps:txbx>
                      <w:txbxContent>
                        <w:p w:rsidR="00985BD5" w:rsidRPr="004E53FE" w:rsidRDefault="00985BD5" w:rsidP="004E53FE">
                          <w:pPr>
                            <w:spacing w:after="0" w:line="240" w:lineRule="auto"/>
                            <w:rPr>
                              <w:rFonts w:ascii="Gandhi Sans" w:hAnsi="Gandhi Sans"/>
                              <w:color w:val="000000" w:themeColor="text1"/>
                              <w:sz w:val="20"/>
                              <w:szCs w:val="64"/>
                              <w14:textOutline w14:w="0" w14:cap="flat" w14:cmpd="sng" w14:algn="ctr">
                                <w14:noFill/>
                                <w14:prstDash w14:val="solid"/>
                                <w14:round/>
                              </w14:textOutline>
                            </w:rPr>
                          </w:pPr>
                          <w:r>
                            <w:rPr>
                              <w:rFonts w:ascii="Gandhi Sans" w:hAnsi="Gandhi Sans"/>
                              <w:color w:val="000000" w:themeColor="text1"/>
                              <w:sz w:val="20"/>
                              <w:szCs w:val="64"/>
                              <w14:textOutline w14:w="0" w14:cap="flat" w14:cmpd="sng" w14:algn="ctr">
                                <w14:noFill/>
                                <w14:prstDash w14:val="solid"/>
                                <w14:round/>
                              </w14:textOutline>
                            </w:rPr>
                            <w:t>Paquete Hacendario 2021</w:t>
                          </w:r>
                        </w:p>
                      </w:txbxContent>
                    </wps:txbx>
                    <wps:bodyPr rot="0" vert="horz" wrap="square" lIns="91440" tIns="45720" rIns="91440" bIns="45720" anchor="t" anchorCtr="0">
                      <a:noAutofit/>
                      <a:scene3d>
                        <a:camera prst="orthographicFront"/>
                        <a:lightRig rig="harsh" dir="t"/>
                      </a:scene3d>
                      <a:sp3d extrusionH="57150" prstMaterial="matte">
                        <a:bevelT w="63500" h="12700"/>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42EE44D" id="_x0000_t202" coordsize="21600,21600" o:spt="202" path="m,l,21600r21600,l21600,xe">
              <v:stroke joinstyle="miter"/>
              <v:path gradientshapeok="t" o:connecttype="rect"/>
            </v:shapetype>
            <v:shape id="_x0000_s1031" type="#_x0000_t202" style="position:absolute;left:0;text-align:left;margin-left:-12.3pt;margin-top:-14.95pt;width:152.4pt;height:18.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" filled="f" stroked="f">
              <v:textbox>
                <w:txbxContent>
                  <w:p w:rsidR="00985BD5" w:rsidRPr="004E53FE" w:rsidRDefault="00985BD5" w:rsidP="004E53FE">
                    <w:pPr>
                      <w:spacing w:after="0" w:line="240" w:lineRule="auto"/>
                      <w:rPr>
                        <w:rFonts w:ascii="Gandhi Sans" w:hAnsi="Gandhi Sans"/>
                        <w:color w:val="000000" w:themeColor="text1"/>
                        <w:sz w:val="20"/>
                        <w:szCs w:val="64"/>
                        <w14:textOutline w14:w="0" w14:cap="flat" w14:cmpd="sng" w14:algn="ctr">
                          <w14:noFill/>
                          <w14:prstDash w14:val="solid"/>
                          <w14:round/>
                        </w14:textOutline>
                      </w:rPr>
                    </w:pPr>
                    <w:r>
                      <w:rPr>
                        <w:rFonts w:ascii="Gandhi Sans" w:hAnsi="Gandhi Sans"/>
                        <w:color w:val="000000" w:themeColor="text1"/>
                        <w:sz w:val="20"/>
                        <w:szCs w:val="64"/>
                        <w14:textOutline w14:w="0" w14:cap="flat" w14:cmpd="sng" w14:algn="ctr">
                          <w14:noFill/>
                          <w14:prstDash w14:val="solid"/>
                          <w14:round/>
                        </w14:textOutline>
                      </w:rPr>
                      <w:t>Paquete Hacendario 2021</w:t>
                    </w:r>
                  </w:p>
                </w:txbxContent>
              </v:textbox>
              <w10:wrap anchorx="margin"/>
            </v:shape>
          </w:pict>
        </mc:Fallback>
      </mc:AlternateContent>
    </w:r>
    <w:r>
      <w:rPr>
        <w:noProof/>
        <w:lang w:eastAsia="es-MX"/>
      </w:rPr>
      <w:drawing>
        <wp:anchor distT="0" distB="0" distL="114300" distR="114300" simplePos="0" relativeHeight="251670528" behindDoc="1" locked="0" layoutInCell="1" allowOverlap="1" wp14:anchorId="6EED3FC0" wp14:editId="1EB3A0A3">
          <wp:simplePos x="0" y="0"/>
          <wp:positionH relativeFrom="margin">
            <wp:posOffset>-137160</wp:posOffset>
          </wp:positionH>
          <wp:positionV relativeFrom="paragraph">
            <wp:posOffset>-255905</wp:posOffset>
          </wp:positionV>
          <wp:extent cx="5232287" cy="114300"/>
          <wp:effectExtent l="0" t="0" r="6985"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terno.png"/>
                  <pic:cNvPicPr/>
                </pic:nvPicPr>
                <pic:blipFill>
                  <a:blip r:embed="rId2">
                    <a:extLst>
                      <a:ext uri="{28A0092B-C50C-407E-A947-70E740481C1C}">
                        <a14:useLocalDpi xmlns:a14="http://schemas.microsoft.com/office/drawing/2010/main" val="0"/>
                      </a:ext>
                    </a:extLst>
                  </a:blip>
                  <a:stretch>
                    <a:fillRect/>
                  </a:stretch>
                </pic:blipFill>
                <pic:spPr>
                  <a:xfrm flipH="1">
                    <a:off x="0" y="0"/>
                    <a:ext cx="5232287" cy="1143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A01C20" w:rsidRPr="00A01C20">
      <w:rPr>
        <w:noProof/>
        <w:lang w:val="es-ES"/>
      </w:rPr>
      <w:t>0</w:t>
    </w:r>
    <w:r>
      <w:fldChar w:fldCharType="end"/>
    </w:r>
  </w:p>
  <w:p w:rsidR="00985BD5" w:rsidRDefault="00985BD5" w:rsidP="004E53FE">
    <w:pPr>
      <w:pStyle w:val="Piedepgina"/>
    </w:pPr>
    <w:r>
      <w:rPr>
        <w:noProof/>
        <w:lang w:eastAsia="es-MX"/>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19B8" w:rsidRDefault="005219B8" w:rsidP="00947A10">
      <w:pPr>
        <w:spacing w:after="0" w:line="240" w:lineRule="auto"/>
      </w:pPr>
      <w:r>
        <w:separator/>
      </w:r>
    </w:p>
  </w:footnote>
  <w:footnote w:type="continuationSeparator" w:id="0">
    <w:p w:rsidR="005219B8" w:rsidRDefault="005219B8" w:rsidP="00947A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BD5" w:rsidRPr="00C671B1" w:rsidRDefault="00985BD5" w:rsidP="00C671B1">
    <w:pPr>
      <w:pStyle w:val="Encabezado"/>
    </w:pPr>
    <w:r>
      <w:rPr>
        <w:noProof/>
        <w:lang w:eastAsia="es-MX"/>
      </w:rPr>
      <w:drawing>
        <wp:anchor distT="0" distB="0" distL="114300" distR="114300" simplePos="0" relativeHeight="251658240" behindDoc="1" locked="0" layoutInCell="1" allowOverlap="1">
          <wp:simplePos x="0" y="0"/>
          <wp:positionH relativeFrom="column">
            <wp:posOffset>484505</wp:posOffset>
          </wp:positionH>
          <wp:positionV relativeFrom="paragraph">
            <wp:posOffset>216535</wp:posOffset>
          </wp:positionV>
          <wp:extent cx="5231765" cy="11430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terno.png"/>
                  <pic:cNvPicPr/>
                </pic:nvPicPr>
                <pic:blipFill>
                  <a:blip r:embed="rId1">
                    <a:extLst>
                      <a:ext uri="{28A0092B-C50C-407E-A947-70E740481C1C}">
                        <a14:useLocalDpi xmlns:a14="http://schemas.microsoft.com/office/drawing/2010/main" val="0"/>
                      </a:ext>
                    </a:extLst>
                  </a:blip>
                  <a:stretch>
                    <a:fillRect/>
                  </a:stretch>
                </pic:blipFill>
                <pic:spPr>
                  <a:xfrm>
                    <a:off x="0" y="0"/>
                    <a:ext cx="5231765" cy="1143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64384" behindDoc="0" locked="0" layoutInCell="1" allowOverlap="1" wp14:anchorId="5C8BFBF8" wp14:editId="014E3509">
              <wp:simplePos x="0" y="0"/>
              <wp:positionH relativeFrom="margin">
                <wp:posOffset>3958590</wp:posOffset>
              </wp:positionH>
              <wp:positionV relativeFrom="paragraph">
                <wp:posOffset>27305</wp:posOffset>
              </wp:positionV>
              <wp:extent cx="1742440" cy="260985"/>
              <wp:effectExtent l="0" t="0" r="0" b="5715"/>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440" cy="260985"/>
                      </a:xfrm>
                      <a:prstGeom prst="rect">
                        <a:avLst/>
                      </a:prstGeom>
                      <a:noFill/>
                      <a:ln w="9525">
                        <a:noFill/>
                        <a:miter lim="800000"/>
                        <a:headEnd/>
                        <a:tailEnd/>
                      </a:ln>
                    </wps:spPr>
                    <wps:txbx>
                      <w:txbxContent>
                        <w:p w:rsidR="00985BD5" w:rsidRPr="002558C1" w:rsidRDefault="0041413F" w:rsidP="004E53FE">
                          <w:pPr>
                            <w:spacing w:after="0" w:line="240" w:lineRule="auto"/>
                            <w:jc w:val="right"/>
                            <w:rPr>
                              <w:rFonts w:ascii="Gandhi Sans" w:hAnsi="Gandhi Sans"/>
                              <w:color w:val="000000" w:themeColor="text1"/>
                              <w:sz w:val="20"/>
                              <w:szCs w:val="64"/>
                              <w14:textOutline w14:w="0" w14:cap="flat" w14:cmpd="sng" w14:algn="ctr">
                                <w14:noFill/>
                                <w14:prstDash w14:val="solid"/>
                                <w14:round/>
                              </w14:textOutline>
                            </w:rPr>
                          </w:pPr>
                          <w:r>
                            <w:rPr>
                              <w:rFonts w:ascii="Gandhi Sans" w:hAnsi="Gandhi Sans"/>
                              <w:color w:val="000000" w:themeColor="text1"/>
                              <w:sz w:val="20"/>
                              <w:szCs w:val="64"/>
                              <w14:textOutline w14:w="0" w14:cap="flat" w14:cmpd="sng" w14:algn="ctr">
                                <w14:noFill/>
                                <w14:prstDash w14:val="solid"/>
                                <w14:round/>
                              </w14:textOutline>
                            </w:rPr>
                            <w:t>Marco Macroeconómico</w:t>
                          </w:r>
                        </w:p>
                      </w:txbxContent>
                    </wps:txbx>
                    <wps:bodyPr rot="0" vert="horz" wrap="square" lIns="91440" tIns="45720" rIns="91440" bIns="45720" anchor="t" anchorCtr="0">
                      <a:noAutofit/>
                      <a:scene3d>
                        <a:camera prst="orthographicFront"/>
                        <a:lightRig rig="harsh" dir="t"/>
                      </a:scene3d>
                      <a:sp3d extrusionH="57150" prstMaterial="matte">
                        <a:bevelT w="63500" h="12700"/>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C8BFBF8" id="_x0000_t202" coordsize="21600,21600" o:spt="202" path="m,l,21600r21600,l21600,xe">
              <v:stroke joinstyle="miter"/>
              <v:path gradientshapeok="t" o:connecttype="rect"/>
            </v:shapetype>
            <v:shape id="Cuadro de texto 2" o:spid="_x0000_s1030" type="#_x0000_t202" style="position:absolute;left:0;text-align:left;margin-left:311.7pt;margin-top:2.15pt;width:137.2pt;height:20.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" filled="f" stroked="f">
              <v:textbox>
                <w:txbxContent>
                  <w:p w:rsidR="00985BD5" w:rsidRPr="002558C1" w:rsidRDefault="0041413F" w:rsidP="004E53FE">
                    <w:pPr>
                      <w:spacing w:after="0" w:line="240" w:lineRule="auto"/>
                      <w:jc w:val="right"/>
                      <w:rPr>
                        <w:rFonts w:ascii="Gandhi Sans" w:hAnsi="Gandhi Sans"/>
                        <w:color w:val="000000" w:themeColor="text1"/>
                        <w:sz w:val="20"/>
                        <w:szCs w:val="64"/>
                        <w14:textOutline w14:w="0" w14:cap="flat" w14:cmpd="sng" w14:algn="ctr">
                          <w14:noFill/>
                          <w14:prstDash w14:val="solid"/>
                          <w14:round/>
                        </w14:textOutline>
                      </w:rPr>
                    </w:pPr>
                    <w:r>
                      <w:rPr>
                        <w:rFonts w:ascii="Gandhi Sans" w:hAnsi="Gandhi Sans"/>
                        <w:color w:val="000000" w:themeColor="text1"/>
                        <w:sz w:val="20"/>
                        <w:szCs w:val="64"/>
                        <w14:textOutline w14:w="0" w14:cap="flat" w14:cmpd="sng" w14:algn="ctr">
                          <w14:noFill/>
                          <w14:prstDash w14:val="solid"/>
                          <w14:round/>
                        </w14:textOutline>
                      </w:rPr>
                      <w:t>Marco Macroeconómico</w:t>
                    </w:r>
                  </w:p>
                </w:txbxContent>
              </v:textbox>
              <w10:wrap anchorx="margin"/>
            </v:shape>
          </w:pict>
        </mc:Fallback>
      </mc:AlternateContent>
    </w:r>
    <w:r>
      <w:rPr>
        <w:noProof/>
        <w:lang w:eastAsia="es-MX"/>
      </w:rPr>
      <w:drawing>
        <wp:anchor distT="0" distB="0" distL="114300" distR="114300" simplePos="0" relativeHeight="251671552" behindDoc="1" locked="0" layoutInCell="1" allowOverlap="1">
          <wp:simplePos x="0" y="0"/>
          <wp:positionH relativeFrom="margin">
            <wp:align>left</wp:align>
          </wp:positionH>
          <wp:positionV relativeFrom="paragraph">
            <wp:posOffset>-277495</wp:posOffset>
          </wp:positionV>
          <wp:extent cx="390525" cy="592521"/>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scudo-chiapa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90525" cy="59252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50580F"/>
    <w:multiLevelType w:val="hybridMultilevel"/>
    <w:tmpl w:val="55724624"/>
    <w:lvl w:ilvl="0" w:tplc="5324E86E">
      <w:start w:val="1"/>
      <w:numFmt w:val="decimal"/>
      <w:lvlText w:val="%1"/>
      <w:lvlJc w:val="left"/>
      <w:pPr>
        <w:ind w:left="885" w:hanging="360"/>
      </w:pPr>
      <w:rPr>
        <w:rFonts w:hint="default"/>
      </w:rPr>
    </w:lvl>
    <w:lvl w:ilvl="1" w:tplc="080A0019" w:tentative="1">
      <w:start w:val="1"/>
      <w:numFmt w:val="lowerLetter"/>
      <w:lvlText w:val="%2."/>
      <w:lvlJc w:val="left"/>
      <w:pPr>
        <w:ind w:left="1605" w:hanging="360"/>
      </w:pPr>
    </w:lvl>
    <w:lvl w:ilvl="2" w:tplc="080A001B" w:tentative="1">
      <w:start w:val="1"/>
      <w:numFmt w:val="lowerRoman"/>
      <w:lvlText w:val="%3."/>
      <w:lvlJc w:val="right"/>
      <w:pPr>
        <w:ind w:left="2325" w:hanging="180"/>
      </w:pPr>
    </w:lvl>
    <w:lvl w:ilvl="3" w:tplc="080A000F" w:tentative="1">
      <w:start w:val="1"/>
      <w:numFmt w:val="decimal"/>
      <w:lvlText w:val="%4."/>
      <w:lvlJc w:val="left"/>
      <w:pPr>
        <w:ind w:left="3045" w:hanging="360"/>
      </w:pPr>
    </w:lvl>
    <w:lvl w:ilvl="4" w:tplc="080A0019" w:tentative="1">
      <w:start w:val="1"/>
      <w:numFmt w:val="lowerLetter"/>
      <w:lvlText w:val="%5."/>
      <w:lvlJc w:val="left"/>
      <w:pPr>
        <w:ind w:left="3765" w:hanging="360"/>
      </w:pPr>
    </w:lvl>
    <w:lvl w:ilvl="5" w:tplc="080A001B" w:tentative="1">
      <w:start w:val="1"/>
      <w:numFmt w:val="lowerRoman"/>
      <w:lvlText w:val="%6."/>
      <w:lvlJc w:val="right"/>
      <w:pPr>
        <w:ind w:left="4485" w:hanging="180"/>
      </w:pPr>
    </w:lvl>
    <w:lvl w:ilvl="6" w:tplc="080A000F" w:tentative="1">
      <w:start w:val="1"/>
      <w:numFmt w:val="decimal"/>
      <w:lvlText w:val="%7."/>
      <w:lvlJc w:val="left"/>
      <w:pPr>
        <w:ind w:left="5205" w:hanging="360"/>
      </w:pPr>
    </w:lvl>
    <w:lvl w:ilvl="7" w:tplc="080A0019" w:tentative="1">
      <w:start w:val="1"/>
      <w:numFmt w:val="lowerLetter"/>
      <w:lvlText w:val="%8."/>
      <w:lvlJc w:val="left"/>
      <w:pPr>
        <w:ind w:left="5925" w:hanging="360"/>
      </w:pPr>
    </w:lvl>
    <w:lvl w:ilvl="8" w:tplc="080A001B" w:tentative="1">
      <w:start w:val="1"/>
      <w:numFmt w:val="lowerRoman"/>
      <w:lvlText w:val="%9."/>
      <w:lvlJc w:val="right"/>
      <w:pPr>
        <w:ind w:left="6645" w:hanging="180"/>
      </w:pPr>
    </w:lvl>
  </w:abstractNum>
  <w:abstractNum w:abstractNumId="1">
    <w:nsid w:val="4EEA239C"/>
    <w:multiLevelType w:val="hybridMultilevel"/>
    <w:tmpl w:val="ACF82D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547C6ED4"/>
    <w:multiLevelType w:val="hybridMultilevel"/>
    <w:tmpl w:val="15BC0EB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597105B3"/>
    <w:multiLevelType w:val="hybridMultilevel"/>
    <w:tmpl w:val="8F867A3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72C53B10"/>
    <w:multiLevelType w:val="hybridMultilevel"/>
    <w:tmpl w:val="4642D298"/>
    <w:lvl w:ilvl="0" w:tplc="84449DB8">
      <w:start w:val="1"/>
      <w:numFmt w:val="bullet"/>
      <w:lvlText w:val="*"/>
      <w:lvlJc w:val="left"/>
      <w:pPr>
        <w:ind w:left="1200" w:hanging="360"/>
      </w:pPr>
      <w:rPr>
        <w:rFonts w:ascii="Gotham" w:eastAsiaTheme="minorEastAsia" w:hAnsi="Gotham" w:cstheme="minorBidi"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5">
    <w:nsid w:val="73E27F2E"/>
    <w:multiLevelType w:val="hybridMultilevel"/>
    <w:tmpl w:val="7ABE30F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2A39"/>
    <w:rsid w:val="00023241"/>
    <w:rsid w:val="00095895"/>
    <w:rsid w:val="000968FE"/>
    <w:rsid w:val="000C0D57"/>
    <w:rsid w:val="000D1079"/>
    <w:rsid w:val="000D677F"/>
    <w:rsid w:val="000E51FB"/>
    <w:rsid w:val="000E739A"/>
    <w:rsid w:val="00103738"/>
    <w:rsid w:val="00111BCA"/>
    <w:rsid w:val="00112BC3"/>
    <w:rsid w:val="001464A7"/>
    <w:rsid w:val="00150D69"/>
    <w:rsid w:val="00154B12"/>
    <w:rsid w:val="0016110B"/>
    <w:rsid w:val="00172345"/>
    <w:rsid w:val="00173C3F"/>
    <w:rsid w:val="001C679D"/>
    <w:rsid w:val="001F0279"/>
    <w:rsid w:val="00207436"/>
    <w:rsid w:val="002303A1"/>
    <w:rsid w:val="002371BF"/>
    <w:rsid w:val="00240743"/>
    <w:rsid w:val="002468FF"/>
    <w:rsid w:val="002558C1"/>
    <w:rsid w:val="0026019E"/>
    <w:rsid w:val="0027008F"/>
    <w:rsid w:val="00281C2A"/>
    <w:rsid w:val="002A4388"/>
    <w:rsid w:val="002A52A2"/>
    <w:rsid w:val="002B480D"/>
    <w:rsid w:val="002F4B16"/>
    <w:rsid w:val="002F614D"/>
    <w:rsid w:val="00320D16"/>
    <w:rsid w:val="0032215D"/>
    <w:rsid w:val="003241FD"/>
    <w:rsid w:val="00360332"/>
    <w:rsid w:val="003643C7"/>
    <w:rsid w:val="00397D42"/>
    <w:rsid w:val="003A58A0"/>
    <w:rsid w:val="003B4F5B"/>
    <w:rsid w:val="004034D6"/>
    <w:rsid w:val="00413AC9"/>
    <w:rsid w:val="0041413F"/>
    <w:rsid w:val="00420B4B"/>
    <w:rsid w:val="00455922"/>
    <w:rsid w:val="0046218E"/>
    <w:rsid w:val="00467F2E"/>
    <w:rsid w:val="004813AD"/>
    <w:rsid w:val="004820FD"/>
    <w:rsid w:val="00484EB8"/>
    <w:rsid w:val="004A1965"/>
    <w:rsid w:val="004A4DC3"/>
    <w:rsid w:val="004C22E6"/>
    <w:rsid w:val="004E53FE"/>
    <w:rsid w:val="00504FBB"/>
    <w:rsid w:val="0050676D"/>
    <w:rsid w:val="005101E8"/>
    <w:rsid w:val="005113D2"/>
    <w:rsid w:val="005164AA"/>
    <w:rsid w:val="005219B8"/>
    <w:rsid w:val="005F7961"/>
    <w:rsid w:val="00612147"/>
    <w:rsid w:val="00647410"/>
    <w:rsid w:val="00647BBE"/>
    <w:rsid w:val="00674081"/>
    <w:rsid w:val="006779CC"/>
    <w:rsid w:val="006829F6"/>
    <w:rsid w:val="006A1A86"/>
    <w:rsid w:val="006C0787"/>
    <w:rsid w:val="006D1E7A"/>
    <w:rsid w:val="006E3E3F"/>
    <w:rsid w:val="00702D97"/>
    <w:rsid w:val="0071047A"/>
    <w:rsid w:val="0071482D"/>
    <w:rsid w:val="00716134"/>
    <w:rsid w:val="007208C0"/>
    <w:rsid w:val="00725CED"/>
    <w:rsid w:val="00731061"/>
    <w:rsid w:val="007431C5"/>
    <w:rsid w:val="00776FDD"/>
    <w:rsid w:val="00793E41"/>
    <w:rsid w:val="007978B8"/>
    <w:rsid w:val="007B7D96"/>
    <w:rsid w:val="007E1D23"/>
    <w:rsid w:val="007F4230"/>
    <w:rsid w:val="007F4242"/>
    <w:rsid w:val="007F7AAF"/>
    <w:rsid w:val="00831026"/>
    <w:rsid w:val="00845CA2"/>
    <w:rsid w:val="0084604C"/>
    <w:rsid w:val="008462A0"/>
    <w:rsid w:val="008522E2"/>
    <w:rsid w:val="0087262F"/>
    <w:rsid w:val="008B2567"/>
    <w:rsid w:val="008D2A39"/>
    <w:rsid w:val="008E02BC"/>
    <w:rsid w:val="008E4597"/>
    <w:rsid w:val="00920128"/>
    <w:rsid w:val="00922830"/>
    <w:rsid w:val="00927E07"/>
    <w:rsid w:val="00940D5F"/>
    <w:rsid w:val="00947A10"/>
    <w:rsid w:val="00970DF7"/>
    <w:rsid w:val="00985BD5"/>
    <w:rsid w:val="009B6F19"/>
    <w:rsid w:val="009C2D2E"/>
    <w:rsid w:val="009C471F"/>
    <w:rsid w:val="009D1B48"/>
    <w:rsid w:val="009D23BE"/>
    <w:rsid w:val="009E7E7C"/>
    <w:rsid w:val="009F2B49"/>
    <w:rsid w:val="009F4959"/>
    <w:rsid w:val="00A01C20"/>
    <w:rsid w:val="00A04C43"/>
    <w:rsid w:val="00A246F0"/>
    <w:rsid w:val="00A351BA"/>
    <w:rsid w:val="00A77E76"/>
    <w:rsid w:val="00A849D1"/>
    <w:rsid w:val="00A8773C"/>
    <w:rsid w:val="00AB393C"/>
    <w:rsid w:val="00AB6016"/>
    <w:rsid w:val="00AC0432"/>
    <w:rsid w:val="00AE69AA"/>
    <w:rsid w:val="00B0255F"/>
    <w:rsid w:val="00B06833"/>
    <w:rsid w:val="00B12E33"/>
    <w:rsid w:val="00B37DAB"/>
    <w:rsid w:val="00B45D53"/>
    <w:rsid w:val="00B65BBA"/>
    <w:rsid w:val="00B85673"/>
    <w:rsid w:val="00BA23DF"/>
    <w:rsid w:val="00BA6099"/>
    <w:rsid w:val="00BF04BF"/>
    <w:rsid w:val="00BF76BD"/>
    <w:rsid w:val="00C0449E"/>
    <w:rsid w:val="00C11D11"/>
    <w:rsid w:val="00C16497"/>
    <w:rsid w:val="00C23367"/>
    <w:rsid w:val="00C3060E"/>
    <w:rsid w:val="00C30BD9"/>
    <w:rsid w:val="00C52138"/>
    <w:rsid w:val="00C52FC9"/>
    <w:rsid w:val="00C55B93"/>
    <w:rsid w:val="00C625F2"/>
    <w:rsid w:val="00C671B1"/>
    <w:rsid w:val="00C87F73"/>
    <w:rsid w:val="00CA07C7"/>
    <w:rsid w:val="00CA3A9E"/>
    <w:rsid w:val="00CB08CC"/>
    <w:rsid w:val="00CD1C6D"/>
    <w:rsid w:val="00CD4C72"/>
    <w:rsid w:val="00CF64A1"/>
    <w:rsid w:val="00D155F7"/>
    <w:rsid w:val="00D362B8"/>
    <w:rsid w:val="00D40CE3"/>
    <w:rsid w:val="00DC16E6"/>
    <w:rsid w:val="00DC1AA9"/>
    <w:rsid w:val="00DE02DC"/>
    <w:rsid w:val="00DE67E2"/>
    <w:rsid w:val="00DE7F02"/>
    <w:rsid w:val="00E2480F"/>
    <w:rsid w:val="00E46BD3"/>
    <w:rsid w:val="00E84997"/>
    <w:rsid w:val="00E900BC"/>
    <w:rsid w:val="00E97A04"/>
    <w:rsid w:val="00EC62BD"/>
    <w:rsid w:val="00ED1276"/>
    <w:rsid w:val="00EE3425"/>
    <w:rsid w:val="00EE7594"/>
    <w:rsid w:val="00F17846"/>
    <w:rsid w:val="00F30C96"/>
    <w:rsid w:val="00F8303B"/>
    <w:rsid w:val="00FA7914"/>
    <w:rsid w:val="00FC2DE9"/>
    <w:rsid w:val="00FC5A9A"/>
    <w:rsid w:val="00FD58B8"/>
    <w:rsid w:val="00FD77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3" w:lineRule="atLeas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47A1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47A10"/>
  </w:style>
  <w:style w:type="paragraph" w:styleId="Piedepgina">
    <w:name w:val="footer"/>
    <w:basedOn w:val="Normal"/>
    <w:link w:val="PiedepginaCar"/>
    <w:uiPriority w:val="99"/>
    <w:unhideWhenUsed/>
    <w:rsid w:val="00947A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47A10"/>
  </w:style>
  <w:style w:type="paragraph" w:styleId="Sinespaciado">
    <w:name w:val="No Spacing"/>
    <w:link w:val="SinespaciadoCar"/>
    <w:uiPriority w:val="1"/>
    <w:qFormat/>
    <w:rsid w:val="002558C1"/>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2558C1"/>
    <w:rPr>
      <w:rFonts w:eastAsiaTheme="minorEastAsia"/>
      <w:lang w:eastAsia="es-MX"/>
    </w:rPr>
  </w:style>
  <w:style w:type="paragraph" w:customStyle="1" w:styleId="Default">
    <w:name w:val="Default"/>
    <w:rsid w:val="002558C1"/>
    <w:pPr>
      <w:autoSpaceDE w:val="0"/>
      <w:autoSpaceDN w:val="0"/>
      <w:adjustRightInd w:val="0"/>
      <w:spacing w:after="0" w:line="240" w:lineRule="auto"/>
    </w:pPr>
    <w:rPr>
      <w:rFonts w:ascii="Montserrat" w:hAnsi="Montserrat" w:cs="Montserrat"/>
      <w:color w:val="000000"/>
      <w:sz w:val="24"/>
      <w:szCs w:val="24"/>
    </w:rPr>
  </w:style>
  <w:style w:type="paragraph" w:styleId="Prrafodelista">
    <w:name w:val="List Paragraph"/>
    <w:basedOn w:val="Normal"/>
    <w:uiPriority w:val="34"/>
    <w:qFormat/>
    <w:rsid w:val="002558C1"/>
    <w:pPr>
      <w:spacing w:after="200" w:line="276" w:lineRule="auto"/>
      <w:ind w:left="720"/>
      <w:contextualSpacing/>
    </w:pPr>
    <w:rPr>
      <w:rFonts w:eastAsiaTheme="minorEastAsia"/>
      <w:lang w:eastAsia="es-MX"/>
    </w:rPr>
  </w:style>
  <w:style w:type="paragraph" w:styleId="Textodeglobo">
    <w:name w:val="Balloon Text"/>
    <w:basedOn w:val="Normal"/>
    <w:link w:val="TextodegloboCar"/>
    <w:uiPriority w:val="99"/>
    <w:semiHidden/>
    <w:unhideWhenUsed/>
    <w:rsid w:val="0041413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141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3" w:lineRule="atLeas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47A1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47A10"/>
  </w:style>
  <w:style w:type="paragraph" w:styleId="Piedepgina">
    <w:name w:val="footer"/>
    <w:basedOn w:val="Normal"/>
    <w:link w:val="PiedepginaCar"/>
    <w:uiPriority w:val="99"/>
    <w:unhideWhenUsed/>
    <w:rsid w:val="00947A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47A10"/>
  </w:style>
  <w:style w:type="paragraph" w:styleId="Sinespaciado">
    <w:name w:val="No Spacing"/>
    <w:link w:val="SinespaciadoCar"/>
    <w:uiPriority w:val="1"/>
    <w:qFormat/>
    <w:rsid w:val="002558C1"/>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2558C1"/>
    <w:rPr>
      <w:rFonts w:eastAsiaTheme="minorEastAsia"/>
      <w:lang w:eastAsia="es-MX"/>
    </w:rPr>
  </w:style>
  <w:style w:type="paragraph" w:customStyle="1" w:styleId="Default">
    <w:name w:val="Default"/>
    <w:rsid w:val="002558C1"/>
    <w:pPr>
      <w:autoSpaceDE w:val="0"/>
      <w:autoSpaceDN w:val="0"/>
      <w:adjustRightInd w:val="0"/>
      <w:spacing w:after="0" w:line="240" w:lineRule="auto"/>
    </w:pPr>
    <w:rPr>
      <w:rFonts w:ascii="Montserrat" w:hAnsi="Montserrat" w:cs="Montserrat"/>
      <w:color w:val="000000"/>
      <w:sz w:val="24"/>
      <w:szCs w:val="24"/>
    </w:rPr>
  </w:style>
  <w:style w:type="paragraph" w:styleId="Prrafodelista">
    <w:name w:val="List Paragraph"/>
    <w:basedOn w:val="Normal"/>
    <w:uiPriority w:val="34"/>
    <w:qFormat/>
    <w:rsid w:val="002558C1"/>
    <w:pPr>
      <w:spacing w:after="200" w:line="276" w:lineRule="auto"/>
      <w:ind w:left="720"/>
      <w:contextualSpacing/>
    </w:pPr>
    <w:rPr>
      <w:rFonts w:eastAsiaTheme="minorEastAsia"/>
      <w:lang w:eastAsia="es-MX"/>
    </w:rPr>
  </w:style>
  <w:style w:type="paragraph" w:styleId="Textodeglobo">
    <w:name w:val="Balloon Text"/>
    <w:basedOn w:val="Normal"/>
    <w:link w:val="TextodegloboCar"/>
    <w:uiPriority w:val="99"/>
    <w:semiHidden/>
    <w:unhideWhenUsed/>
    <w:rsid w:val="0041413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141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9.emf"/></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C15D8B-E279-4260-9733-3AD24F872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3883</Words>
  <Characters>21359</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25192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Moises Alejandro Dichi Coutiño</dc:creator>
  <cp:lastModifiedBy>Ana María De Paz Díaz</cp:lastModifiedBy>
  <cp:revision>5</cp:revision>
  <cp:lastPrinted>2020-12-31T20:06:00Z</cp:lastPrinted>
  <dcterms:created xsi:type="dcterms:W3CDTF">2020-12-31T20:06:00Z</dcterms:created>
  <dcterms:modified xsi:type="dcterms:W3CDTF">2020-12-31T20:13:00Z</dcterms:modified>
</cp:coreProperties>
</file>