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99" w:rsidRDefault="001A5099">
      <w:pPr>
        <w:jc w:val="center"/>
        <w:rPr>
          <w:rFonts w:ascii="Century Gothic" w:eastAsia="Century Gothic" w:hAnsi="Century Gothic" w:cs="Century Gothic"/>
          <w:sz w:val="24"/>
          <w:szCs w:val="24"/>
          <w:u w:val="single"/>
        </w:rPr>
      </w:pPr>
      <w:bookmarkStart w:id="0" w:name="_GoBack"/>
      <w:bookmarkEnd w:id="0"/>
    </w:p>
    <w:p w:rsidR="001A5099" w:rsidRDefault="009B5354">
      <w:pPr>
        <w:jc w:val="center"/>
        <w:rPr>
          <w:rFonts w:ascii="Century Gothic" w:eastAsia="Century Gothic" w:hAnsi="Century Gothic" w:cs="Century Gothic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sz w:val="30"/>
          <w:szCs w:val="30"/>
          <w:u w:val="single"/>
        </w:rPr>
        <w:t xml:space="preserve">Resumen Ejecutivo 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 </w:t>
      </w:r>
    </w:p>
    <w:p w:rsidR="001A5099" w:rsidRDefault="001A5099">
      <w:pPr>
        <w:jc w:val="center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:rsidR="001A5099" w:rsidRDefault="009B535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Evaluación Específica de Desempeño  </w:t>
      </w:r>
    </w:p>
    <w:p w:rsidR="001A5099" w:rsidRDefault="001A5099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1A5099" w:rsidRDefault="009B5354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sz w:val="24"/>
          <w:szCs w:val="24"/>
        </w:rPr>
        <w:t>Con fundamento en los Artículos siguientes: Art. 134  De la Constitución Política de los Estados Mexicanos, 85 y 110 de la Ley Federal de Presupuesto y Responsabilidad Hacendaria, 303 de su reglamento, 49 de la Ley de Coordinación Fiscal, 79 de la Ley Gene</w:t>
      </w:r>
      <w:r>
        <w:rPr>
          <w:rFonts w:ascii="Century Gothic" w:eastAsia="Century Gothic" w:hAnsi="Century Gothic" w:cs="Century Gothic"/>
          <w:sz w:val="24"/>
          <w:szCs w:val="24"/>
        </w:rPr>
        <w:t>ral de Contabilidad Gubernamental y el Art. 339 fracción I inciso j) del Código de la Hacienda para el Estado de Chiapas, por los artículos que se mencionan y de acuerdo  a los Términos de Referencia (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TdR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) 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Evaluación Específica de Desempeño </w:t>
      </w:r>
      <w:r>
        <w:rPr>
          <w:rFonts w:ascii="Century Gothic" w:eastAsia="Century Gothic" w:hAnsi="Century Gothic" w:cs="Century Gothic"/>
          <w:sz w:val="24"/>
          <w:szCs w:val="24"/>
        </w:rPr>
        <w:t>emitidos por 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 Consejo Nacional de Evaluación de la Política de Desarrollo Social (CONEVAL), esta evaluación se llevó a cabo enfocados a los proyectos institucionales: </w:t>
      </w:r>
      <w:r>
        <w:rPr>
          <w:rFonts w:ascii="Century Gothic" w:eastAsia="Century Gothic" w:hAnsi="Century Gothic" w:cs="Century Gothic"/>
          <w:b/>
          <w:sz w:val="24"/>
          <w:szCs w:val="24"/>
        </w:rPr>
        <w:t>Centro de Atención Múltiple, Centro de Atención Preventiva en Educación Preescolar, Unidad de Servici</w:t>
      </w:r>
      <w:r>
        <w:rPr>
          <w:rFonts w:ascii="Century Gothic" w:eastAsia="Century Gothic" w:hAnsi="Century Gothic" w:cs="Century Gothic"/>
          <w:b/>
          <w:sz w:val="24"/>
          <w:szCs w:val="24"/>
        </w:rPr>
        <w:t>os de Apoyo a la Educación Regular e Investigación y Actualización en Educación Especial,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ejecutados en el ejercicio 2021; que consiste en mostrar  el avance en el cumplimiento de los objetivos y metas programadas de los proyectos mediante el análisis de 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ndicadores de  gestión, así como la  síntesis de la información proporcionada  por las unidades responsables de los proyectos, contemplados en los siguientes apartados :  </w:t>
      </w:r>
    </w:p>
    <w:p w:rsidR="001A5099" w:rsidRDefault="009B5354">
      <w:pPr>
        <w:spacing w:before="240" w:after="24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1.- Resultados finales del proyecto.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acuerdo a los hallazgos encontrados por part</w:t>
      </w:r>
      <w:r>
        <w:rPr>
          <w:rFonts w:ascii="Century Gothic" w:eastAsia="Century Gothic" w:hAnsi="Century Gothic" w:cs="Century Gothic"/>
          <w:sz w:val="24"/>
          <w:szCs w:val="24"/>
        </w:rPr>
        <w:t>e de la unidad evaluadora, exponen que no encontraron evidencia documental que avale resultados de impactos sobre las actividades que desarrollan los proyectos, “Centro de Atención Múltiple”, “Unidad de Servicios a la Educación Regular”, “Centro de Atenció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Preventiva en Educación Preescolar” y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“ Investigación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y Actualización en Educación Especial”.         </w:t>
      </w:r>
    </w:p>
    <w:p w:rsidR="001A5099" w:rsidRDefault="009B5354">
      <w:pPr>
        <w:spacing w:before="240" w:after="24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2.-Productos.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Derivado de las entrevistas realizadas por la empresa  Impulsora de Servicios Administrativos (ISA) a las diferentes áreas involucradas q</w:t>
      </w:r>
      <w:r>
        <w:rPr>
          <w:rFonts w:ascii="Century Gothic" w:eastAsia="Century Gothic" w:hAnsi="Century Gothic" w:cs="Century Gothic"/>
          <w:sz w:val="24"/>
          <w:szCs w:val="24"/>
        </w:rPr>
        <w:t>ue atienden los proyectos:  “Centro de Atención Múltiple”, “Unidad de Servicios a la Educación Regular”, “Centro de Atención Preventiva en Educación Preescolar” y “ Investigación y Actualización en Educación Especial”, respecto a los bienes y servicios ent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regada a la 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>población beneficiaria, se encontró información empírica pero sin ser sustentada con evidencia documental.</w:t>
      </w:r>
    </w:p>
    <w:p w:rsidR="001A5099" w:rsidRDefault="009B5354">
      <w:pPr>
        <w:spacing w:before="240" w:after="24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3.-Identificar Indicador Sectorial.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En este apartado derivado de los hallazgos encontrados por parte de la  empresa  Impulsora de Servic</w:t>
      </w:r>
      <w:r>
        <w:rPr>
          <w:rFonts w:ascii="Century Gothic" w:eastAsia="Century Gothic" w:hAnsi="Century Gothic" w:cs="Century Gothic"/>
          <w:sz w:val="24"/>
          <w:szCs w:val="24"/>
        </w:rPr>
        <w:t>ios Administrativos (ISA), no se encontró evidencia de algún indicador a nivel sectorial que contribuya al logro de objetivos y metas alcanzadas para la población atendida por los  proyectos, “Centro de Atención Múltiple”, “Unidad de Servicios a la Educaci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ón Regular”, “Centro de Atención Preventiva en Educación Preescolar” y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“ Investigación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y Actualización en Educación Especial”.</w:t>
      </w:r>
    </w:p>
    <w:p w:rsidR="001A5099" w:rsidRDefault="009B5354">
      <w:pPr>
        <w:spacing w:before="240" w:after="24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4.-Seguimiento a los aspectos susceptibles de mejora</w:t>
      </w:r>
      <w:r>
        <w:rPr>
          <w:rFonts w:ascii="Century Gothic" w:eastAsia="Century Gothic" w:hAnsi="Century Gothic" w:cs="Century Gothic"/>
          <w:sz w:val="24"/>
          <w:szCs w:val="24"/>
        </w:rPr>
        <w:t>. En los hallazgos encontrados por parte de la empresa Impulsora de Servicios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Administrativos (ISA), en relación a los aspectos susceptibles de mejora en ejercicios anteriores, se pudo constatar algunas acciones de mejora realizadas por estos proyectos de forma general; sin embargo no se obtuvo información sobre  un impacto en part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icular de recomendaciones realizadas anteriormente. </w:t>
      </w:r>
    </w:p>
    <w:p w:rsidR="001A5099" w:rsidRDefault="009B5354">
      <w:pPr>
        <w:spacing w:before="240" w:after="240" w:line="276" w:lineRule="auto"/>
        <w:jc w:val="both"/>
      </w:pPr>
      <w:r>
        <w:rPr>
          <w:rFonts w:ascii="Century Gothic" w:eastAsia="Century Gothic" w:hAnsi="Century Gothic" w:cs="Century Gothic"/>
          <w:b/>
          <w:sz w:val="24"/>
          <w:szCs w:val="24"/>
        </w:rPr>
        <w:t>5.-Cobertura del programa</w:t>
      </w:r>
      <w:r>
        <w:rPr>
          <w:rFonts w:ascii="Century Gothic" w:eastAsia="Century Gothic" w:hAnsi="Century Gothic" w:cs="Century Gothic"/>
          <w:sz w:val="24"/>
          <w:szCs w:val="24"/>
        </w:rPr>
        <w:t>. Los hallazgos encontrados por parte de los evaluadores, no se encontró definición y cuantificación de la Población Potencial, Objetivo y Atendida, así como la localización geog</w:t>
      </w:r>
      <w:r>
        <w:rPr>
          <w:rFonts w:ascii="Century Gothic" w:eastAsia="Century Gothic" w:hAnsi="Century Gothic" w:cs="Century Gothic"/>
          <w:sz w:val="24"/>
          <w:szCs w:val="24"/>
        </w:rPr>
        <w:t>ráfica de la Población Atendida.</w:t>
      </w:r>
    </w:p>
    <w:p w:rsidR="001A5099" w:rsidRDefault="001A5099"/>
    <w:sectPr w:rsidR="001A5099">
      <w:headerReference w:type="default" r:id="rId8"/>
      <w:footerReference w:type="default" r:id="rId9"/>
      <w:pgSz w:w="12240" w:h="15840"/>
      <w:pgMar w:top="99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54" w:rsidRDefault="009B5354">
      <w:pPr>
        <w:spacing w:after="0" w:line="240" w:lineRule="auto"/>
      </w:pPr>
      <w:r>
        <w:separator/>
      </w:r>
    </w:p>
  </w:endnote>
  <w:endnote w:type="continuationSeparator" w:id="0">
    <w:p w:rsidR="009B5354" w:rsidRDefault="009B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99" w:rsidRDefault="009B5354">
    <w:pPr>
      <w:jc w:val="right"/>
    </w:pPr>
    <w:r>
      <w:rPr>
        <w:rFonts w:ascii="Century Gothic" w:eastAsia="Century Gothic" w:hAnsi="Century Gothic" w:cs="Century Gothic"/>
        <w:b/>
        <w:sz w:val="24"/>
        <w:szCs w:val="24"/>
      </w:rPr>
      <w:fldChar w:fldCharType="begin"/>
    </w:r>
    <w:r>
      <w:rPr>
        <w:rFonts w:ascii="Century Gothic" w:eastAsia="Century Gothic" w:hAnsi="Century Gothic" w:cs="Century Gothic"/>
        <w:b/>
        <w:sz w:val="24"/>
        <w:szCs w:val="24"/>
      </w:rPr>
      <w:instrText>PAGE</w:instrText>
    </w:r>
    <w:r w:rsidR="00F20224">
      <w:rPr>
        <w:rFonts w:ascii="Century Gothic" w:eastAsia="Century Gothic" w:hAnsi="Century Gothic" w:cs="Century Gothic"/>
        <w:b/>
        <w:sz w:val="24"/>
        <w:szCs w:val="24"/>
      </w:rPr>
      <w:fldChar w:fldCharType="separate"/>
    </w:r>
    <w:r w:rsidR="00F20224">
      <w:rPr>
        <w:rFonts w:ascii="Century Gothic" w:eastAsia="Century Gothic" w:hAnsi="Century Gothic" w:cs="Century Gothic"/>
        <w:b/>
        <w:noProof/>
        <w:sz w:val="24"/>
        <w:szCs w:val="24"/>
      </w:rPr>
      <w:t>2</w:t>
    </w:r>
    <w:r>
      <w:rPr>
        <w:rFonts w:ascii="Century Gothic" w:eastAsia="Century Gothic" w:hAnsi="Century Gothic" w:cs="Century Gothic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54" w:rsidRDefault="009B5354">
      <w:pPr>
        <w:spacing w:after="0" w:line="240" w:lineRule="auto"/>
      </w:pPr>
      <w:r>
        <w:separator/>
      </w:r>
    </w:p>
  </w:footnote>
  <w:footnote w:type="continuationSeparator" w:id="0">
    <w:p w:rsidR="009B5354" w:rsidRDefault="009B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99" w:rsidRDefault="009B5354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4876800</wp:posOffset>
          </wp:positionH>
          <wp:positionV relativeFrom="paragraph">
            <wp:posOffset>-216534</wp:posOffset>
          </wp:positionV>
          <wp:extent cx="1414780" cy="669925"/>
          <wp:effectExtent l="0" t="0" r="0" b="0"/>
          <wp:wrapSquare wrapText="bothSides" distT="0" distB="0" distL="114300" distR="114300"/>
          <wp:docPr id="1" name="image1.png" descr="PLADSE - Control de Acce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LADSE - Control de Acce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780" cy="66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5099"/>
    <w:rsid w:val="001A5099"/>
    <w:rsid w:val="009B5354"/>
    <w:rsid w:val="00F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D156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D156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IggJdnhwW6z+TvniKIHnOGdbVg==">AMUW2mWWgtgw+U403rvAHyWga4WrDtanbm3haMRj2TbBaVFeGgtwRs06x9JkrBYWz6WLT+9iLMQl8O9nakKm93PKGxC+fIu6hbTU44UwEb4MqVBej2EAlwgHJSrTLev01f8SgDQ33f10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pcsep2021@hotmail.com</dc:creator>
  <cp:lastModifiedBy>José Joaquín Tondopó Jonapa</cp:lastModifiedBy>
  <cp:revision>2</cp:revision>
  <dcterms:created xsi:type="dcterms:W3CDTF">2023-01-31T18:10:00Z</dcterms:created>
  <dcterms:modified xsi:type="dcterms:W3CDTF">2023-01-31T18:10:00Z</dcterms:modified>
</cp:coreProperties>
</file>