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8637C" w14:textId="77777777" w:rsidR="00B62EBA" w:rsidRPr="00172BA8" w:rsidRDefault="00B62EBA" w:rsidP="00B62EBA">
      <w:pPr>
        <w:autoSpaceDE w:val="0"/>
        <w:autoSpaceDN w:val="0"/>
        <w:adjustRightInd w:val="0"/>
        <w:jc w:val="center"/>
        <w:rPr>
          <w:rFonts w:cs="Arial"/>
          <w:b/>
          <w:color w:val="9E213D"/>
          <w:sz w:val="28"/>
          <w:szCs w:val="28"/>
        </w:rPr>
      </w:pPr>
      <w:r w:rsidRPr="00172BA8">
        <w:rPr>
          <w:rFonts w:cs="Arial"/>
          <w:b/>
          <w:color w:val="9E213D"/>
          <w:sz w:val="28"/>
          <w:szCs w:val="28"/>
        </w:rPr>
        <w:t>Notas a los estados financieros consolidados</w:t>
      </w:r>
    </w:p>
    <w:p w14:paraId="277D551B" w14:textId="77777777" w:rsidR="00B62EBA" w:rsidRPr="00172BA8" w:rsidRDefault="00B62EBA" w:rsidP="00B62EBA">
      <w:pPr>
        <w:jc w:val="center"/>
        <w:rPr>
          <w:rFonts w:cs="Arial"/>
          <w:color w:val="9E213D"/>
          <w:sz w:val="24"/>
          <w:szCs w:val="24"/>
          <w:lang w:eastAsia="es-ES"/>
        </w:rPr>
      </w:pPr>
      <w:r w:rsidRPr="00172BA8">
        <w:rPr>
          <w:rFonts w:cs="Arial"/>
          <w:color w:val="9E213D"/>
          <w:sz w:val="24"/>
          <w:szCs w:val="24"/>
          <w:lang w:eastAsia="es-ES"/>
        </w:rPr>
        <w:t>DEL 1 DE ENERO AL 31 DE MARZO DE 2024</w:t>
      </w:r>
    </w:p>
    <w:p w14:paraId="0E36A41C" w14:textId="77777777" w:rsidR="00B62EBA" w:rsidRPr="00172BA8" w:rsidRDefault="00B62EBA" w:rsidP="00B62EBA">
      <w:pPr>
        <w:jc w:val="center"/>
        <w:rPr>
          <w:rFonts w:cs="Arial"/>
          <w:color w:val="9E213D"/>
          <w:sz w:val="24"/>
          <w:szCs w:val="24"/>
          <w:lang w:eastAsia="es-ES"/>
        </w:rPr>
      </w:pPr>
      <w:r w:rsidRPr="00172BA8">
        <w:rPr>
          <w:rFonts w:cs="Arial"/>
          <w:color w:val="9E213D"/>
          <w:sz w:val="24"/>
          <w:szCs w:val="24"/>
          <w:lang w:eastAsia="es-ES"/>
        </w:rPr>
        <w:t>(Cifras en pesos)</w:t>
      </w:r>
    </w:p>
    <w:p w14:paraId="61427B98" w14:textId="77777777" w:rsidR="00B62EBA" w:rsidRPr="0043289D" w:rsidRDefault="00B62EBA" w:rsidP="00B62EBA">
      <w:pPr>
        <w:jc w:val="both"/>
        <w:outlineLvl w:val="0"/>
        <w:rPr>
          <w:rFonts w:cs="Arial"/>
          <w:szCs w:val="20"/>
        </w:rPr>
      </w:pPr>
      <w:bookmarkStart w:id="0" w:name="_Hlk117854077"/>
    </w:p>
    <w:bookmarkEnd w:id="0"/>
    <w:p w14:paraId="4E8C639D" w14:textId="77777777" w:rsidR="00B62EBA" w:rsidRPr="0043289D" w:rsidRDefault="00B62EBA" w:rsidP="00B62EBA">
      <w:pPr>
        <w:rPr>
          <w:rFonts w:eastAsia="Calibri" w:cs="Times New Roman"/>
          <w:b/>
          <w:sz w:val="24"/>
          <w:szCs w:val="24"/>
          <w:lang w:eastAsia="es-ES"/>
        </w:rPr>
      </w:pPr>
      <w:r w:rsidRPr="0043289D">
        <w:rPr>
          <w:rFonts w:eastAsia="Calibri" w:cs="Times New Roman"/>
          <w:b/>
          <w:sz w:val="24"/>
          <w:szCs w:val="24"/>
          <w:lang w:eastAsia="es-ES"/>
        </w:rPr>
        <w:t>Introducción</w:t>
      </w:r>
    </w:p>
    <w:p w14:paraId="7AD65F5D" w14:textId="77777777" w:rsidR="00B62EBA" w:rsidRPr="0043289D" w:rsidRDefault="00B62EBA" w:rsidP="00B62EBA">
      <w:pPr>
        <w:rPr>
          <w:rFonts w:eastAsia="Calibri" w:cs="Times New Roman"/>
          <w:b/>
          <w:szCs w:val="20"/>
          <w:lang w:eastAsia="es-ES"/>
        </w:rPr>
      </w:pPr>
    </w:p>
    <w:p w14:paraId="0D15711E" w14:textId="77777777" w:rsidR="00B62EBA" w:rsidRPr="0043289D" w:rsidRDefault="00B62EBA" w:rsidP="00B62EBA">
      <w:pPr>
        <w:jc w:val="both"/>
        <w:outlineLvl w:val="0"/>
        <w:rPr>
          <w:rFonts w:eastAsia="Calibri" w:cs="Times New Roman"/>
        </w:rPr>
      </w:pPr>
      <w:r w:rsidRPr="0043289D">
        <w:rPr>
          <w:rFonts w:eastAsia="Calibri" w:cs="Times New Roman"/>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inancieros correspondiente al 31 de marzo del ejercicio fiscal 2024</w:t>
      </w:r>
      <w:r w:rsidRPr="0043289D">
        <w:rPr>
          <w:rFonts w:eastAsia="Calibri" w:cs="Times New Roman"/>
        </w:rPr>
        <w:t>, con los siguientes apartados:</w:t>
      </w:r>
    </w:p>
    <w:p w14:paraId="0AA148F8" w14:textId="77777777" w:rsidR="00B62EBA" w:rsidRPr="0043289D" w:rsidRDefault="00B62EBA" w:rsidP="00B62EBA">
      <w:pPr>
        <w:jc w:val="both"/>
        <w:outlineLvl w:val="0"/>
        <w:rPr>
          <w:rFonts w:eastAsia="Calibri" w:cs="Times New Roman"/>
        </w:rPr>
      </w:pPr>
    </w:p>
    <w:p w14:paraId="687906FE" w14:textId="77777777" w:rsidR="00B62EBA" w:rsidRPr="0043289D" w:rsidRDefault="00B62EBA" w:rsidP="00B62EBA">
      <w:pPr>
        <w:numPr>
          <w:ilvl w:val="0"/>
          <w:numId w:val="21"/>
        </w:numPr>
        <w:spacing w:after="120"/>
        <w:ind w:left="357" w:hanging="357"/>
        <w:jc w:val="both"/>
        <w:outlineLvl w:val="0"/>
        <w:rPr>
          <w:rFonts w:eastAsia="Times New Roman" w:cs="Arial"/>
          <w:szCs w:val="20"/>
          <w:lang w:eastAsia="es-MX"/>
        </w:rPr>
      </w:pPr>
      <w:r w:rsidRPr="0043289D">
        <w:rPr>
          <w:rFonts w:eastAsia="Times New Roman" w:cs="Arial"/>
          <w:szCs w:val="20"/>
          <w:lang w:eastAsia="es-MX"/>
        </w:rPr>
        <w:t>Notas de gestión administrativa,</w:t>
      </w:r>
    </w:p>
    <w:p w14:paraId="060E2142" w14:textId="77777777" w:rsidR="00B62EBA" w:rsidRPr="0043289D" w:rsidRDefault="00B62EBA" w:rsidP="00B62EBA">
      <w:pPr>
        <w:numPr>
          <w:ilvl w:val="0"/>
          <w:numId w:val="21"/>
        </w:numPr>
        <w:spacing w:after="120"/>
        <w:ind w:left="357" w:hanging="357"/>
        <w:jc w:val="both"/>
        <w:outlineLvl w:val="0"/>
        <w:rPr>
          <w:rFonts w:eastAsia="Times New Roman" w:cs="Arial"/>
          <w:szCs w:val="20"/>
          <w:lang w:eastAsia="es-MX"/>
        </w:rPr>
      </w:pPr>
      <w:r w:rsidRPr="0043289D">
        <w:rPr>
          <w:rFonts w:eastAsia="Times New Roman" w:cs="Arial"/>
          <w:szCs w:val="20"/>
          <w:lang w:eastAsia="es-MX"/>
        </w:rPr>
        <w:t>Notas de desglose, y</w:t>
      </w:r>
      <w:bookmarkStart w:id="1" w:name="_GoBack"/>
      <w:bookmarkEnd w:id="1"/>
    </w:p>
    <w:p w14:paraId="671E926D" w14:textId="77777777" w:rsidR="00B62EBA" w:rsidRPr="0043289D" w:rsidRDefault="00B62EBA" w:rsidP="00B62EBA">
      <w:pPr>
        <w:numPr>
          <w:ilvl w:val="0"/>
          <w:numId w:val="21"/>
        </w:numPr>
        <w:spacing w:after="120"/>
        <w:ind w:left="357" w:hanging="357"/>
        <w:jc w:val="both"/>
        <w:outlineLvl w:val="0"/>
        <w:rPr>
          <w:rFonts w:eastAsia="Times New Roman" w:cs="Arial"/>
          <w:szCs w:val="20"/>
          <w:lang w:eastAsia="es-MX"/>
        </w:rPr>
      </w:pPr>
      <w:r w:rsidRPr="0043289D">
        <w:rPr>
          <w:rFonts w:eastAsia="Times New Roman" w:cs="Arial"/>
          <w:szCs w:val="20"/>
          <w:lang w:eastAsia="es-MX"/>
        </w:rPr>
        <w:t>Notas de memoria (cuentas de orden).</w:t>
      </w:r>
    </w:p>
    <w:p w14:paraId="1AE45B4F" w14:textId="77777777" w:rsidR="00B62EBA" w:rsidRPr="0043289D" w:rsidRDefault="00B62EBA" w:rsidP="00B62EBA">
      <w:pPr>
        <w:jc w:val="both"/>
        <w:outlineLvl w:val="0"/>
        <w:rPr>
          <w:rFonts w:eastAsia="Times New Roman" w:cs="Arial"/>
          <w:szCs w:val="20"/>
          <w:lang w:eastAsia="es-MX"/>
        </w:rPr>
      </w:pPr>
    </w:p>
    <w:p w14:paraId="458F94E7" w14:textId="77777777" w:rsidR="00B62EBA" w:rsidRPr="0043289D" w:rsidRDefault="00B62EBA" w:rsidP="00B62EBA">
      <w:pPr>
        <w:jc w:val="both"/>
        <w:rPr>
          <w:rFonts w:eastAsia="Calibri" w:cs="Times New Roman"/>
        </w:rPr>
      </w:pPr>
      <w:r w:rsidRPr="0043289D">
        <w:rPr>
          <w:rFonts w:eastAsia="Calibri" w:cs="Times New Roman"/>
        </w:rPr>
        <w:t xml:space="preserve">Las cifras mostradas al </w:t>
      </w:r>
      <w:r>
        <w:rPr>
          <w:rFonts w:eastAsia="Calibri" w:cs="Times New Roman"/>
        </w:rPr>
        <w:t>31 de marzo de 2024</w:t>
      </w:r>
      <w:r w:rsidRPr="0043289D">
        <w:rPr>
          <w:rFonts w:eastAsia="Calibri" w:cs="Times New Roman"/>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30504C64" w14:textId="77777777" w:rsidR="00B62EBA" w:rsidRPr="0043289D" w:rsidRDefault="00B62EBA" w:rsidP="00B62EBA">
      <w:pPr>
        <w:ind w:right="567"/>
        <w:jc w:val="both"/>
        <w:rPr>
          <w:rFonts w:eastAsia="Calibri" w:cs="Times New Roman"/>
          <w:b/>
          <w:bCs/>
          <w:caps/>
        </w:rPr>
      </w:pPr>
    </w:p>
    <w:p w14:paraId="138F7671" w14:textId="77777777" w:rsidR="00B62EBA" w:rsidRPr="0043289D" w:rsidRDefault="00B62EBA" w:rsidP="00B62EBA">
      <w:pPr>
        <w:ind w:right="567"/>
        <w:jc w:val="both"/>
        <w:rPr>
          <w:rFonts w:eastAsia="Calibri" w:cs="Times New Roman"/>
          <w:b/>
          <w:bCs/>
          <w:caps/>
        </w:rPr>
      </w:pPr>
    </w:p>
    <w:p w14:paraId="01BF85ED" w14:textId="77777777" w:rsidR="00B62EBA" w:rsidRPr="0043289D" w:rsidRDefault="00B62EBA" w:rsidP="00B62EBA">
      <w:pPr>
        <w:rPr>
          <w:rFonts w:eastAsia="Calibri" w:cs="Times New Roman"/>
          <w:b/>
          <w:sz w:val="24"/>
          <w:szCs w:val="24"/>
          <w:lang w:eastAsia="es-ES"/>
        </w:rPr>
      </w:pPr>
      <w:r w:rsidRPr="0043289D">
        <w:rPr>
          <w:rFonts w:eastAsia="Calibri" w:cs="Times New Roman"/>
          <w:b/>
          <w:sz w:val="24"/>
          <w:szCs w:val="24"/>
          <w:lang w:eastAsia="es-ES"/>
        </w:rPr>
        <w:t>Notas de gestión administrativa</w:t>
      </w:r>
    </w:p>
    <w:p w14:paraId="2B818368" w14:textId="77777777" w:rsidR="00B62EBA" w:rsidRPr="0043289D" w:rsidRDefault="00B62EBA" w:rsidP="00B62EBA">
      <w:pPr>
        <w:autoSpaceDE w:val="0"/>
        <w:autoSpaceDN w:val="0"/>
        <w:adjustRightInd w:val="0"/>
        <w:jc w:val="both"/>
        <w:rPr>
          <w:rFonts w:eastAsia="Calibri" w:cs="Times New Roman"/>
        </w:rPr>
      </w:pPr>
    </w:p>
    <w:p w14:paraId="229AEA01"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Las notas de gestión administrativa consolidados del Poder Judicial se integran con la información del Consejo de la Judicatura y el Tribunal Administrativo, mismas que podrán ser consultadas en la información de cada ente público.</w:t>
      </w:r>
    </w:p>
    <w:p w14:paraId="2C0FDBD7" w14:textId="77777777" w:rsidR="00B62EBA" w:rsidRPr="0043289D" w:rsidRDefault="00B62EBA" w:rsidP="00B62EBA">
      <w:pPr>
        <w:ind w:right="567"/>
        <w:jc w:val="both"/>
        <w:rPr>
          <w:rFonts w:eastAsia="Calibri" w:cs="Times New Roman"/>
          <w:b/>
          <w:bCs/>
          <w:caps/>
        </w:rPr>
      </w:pPr>
    </w:p>
    <w:p w14:paraId="777198C6" w14:textId="77777777" w:rsidR="00B62EBA" w:rsidRPr="0043289D" w:rsidRDefault="00B62EBA" w:rsidP="00B62EBA">
      <w:pPr>
        <w:ind w:right="567"/>
        <w:jc w:val="both"/>
        <w:rPr>
          <w:rFonts w:eastAsia="Calibri" w:cs="Times New Roman"/>
          <w:b/>
          <w:bCs/>
          <w:caps/>
        </w:rPr>
      </w:pPr>
    </w:p>
    <w:p w14:paraId="5BFEE3AE" w14:textId="77777777" w:rsidR="00B62EBA" w:rsidRPr="0043289D" w:rsidRDefault="00B62EBA" w:rsidP="00B62EBA">
      <w:pPr>
        <w:rPr>
          <w:rFonts w:eastAsia="Calibri" w:cs="Times New Roman"/>
          <w:b/>
          <w:sz w:val="24"/>
          <w:szCs w:val="24"/>
          <w:lang w:eastAsia="es-ES"/>
        </w:rPr>
      </w:pPr>
      <w:bookmarkStart w:id="2" w:name="_Hlk125467046"/>
      <w:r w:rsidRPr="0043289D">
        <w:rPr>
          <w:rFonts w:eastAsia="Calibri" w:cs="Times New Roman"/>
          <w:b/>
          <w:sz w:val="24"/>
          <w:szCs w:val="24"/>
          <w:lang w:eastAsia="es-ES"/>
        </w:rPr>
        <w:t>Notas de desglose</w:t>
      </w:r>
    </w:p>
    <w:p w14:paraId="5C717EDF" w14:textId="77777777" w:rsidR="00B62EBA" w:rsidRPr="0043289D" w:rsidRDefault="00B62EBA" w:rsidP="00B62EBA">
      <w:pPr>
        <w:rPr>
          <w:rFonts w:eastAsia="Calibri" w:cs="Times New Roman"/>
          <w:lang w:eastAsia="es-MX"/>
        </w:rPr>
      </w:pPr>
    </w:p>
    <w:p w14:paraId="091D2A19" w14:textId="77777777" w:rsidR="00B62EBA" w:rsidRPr="0043289D" w:rsidRDefault="00B62EBA" w:rsidP="00B62EBA">
      <w:pPr>
        <w:jc w:val="both"/>
        <w:rPr>
          <w:rFonts w:eastAsia="Calibri" w:cs="Arial"/>
          <w:b/>
          <w:bCs/>
          <w:caps/>
          <w:szCs w:val="20"/>
          <w:lang w:val="es-ES" w:eastAsia="es-ES"/>
        </w:rPr>
      </w:pPr>
      <w:r w:rsidRPr="0043289D">
        <w:rPr>
          <w:rFonts w:eastAsia="Calibri" w:cs="Arial"/>
          <w:b/>
          <w:bCs/>
          <w:szCs w:val="20"/>
          <w:lang w:val="es-ES" w:eastAsia="es-ES"/>
        </w:rPr>
        <w:t>Notas al estado de actividades</w:t>
      </w:r>
    </w:p>
    <w:p w14:paraId="3EE4C8F0" w14:textId="77777777" w:rsidR="00B62EBA" w:rsidRPr="0043289D" w:rsidRDefault="00B62EBA" w:rsidP="00B62EBA">
      <w:pPr>
        <w:jc w:val="both"/>
        <w:outlineLvl w:val="0"/>
        <w:rPr>
          <w:rFonts w:eastAsia="Calibri" w:cs="Times New Roman"/>
        </w:rPr>
      </w:pPr>
    </w:p>
    <w:p w14:paraId="69FD8071" w14:textId="77777777" w:rsidR="00B62EBA" w:rsidRPr="0043289D" w:rsidRDefault="00B62EBA" w:rsidP="00B62EBA">
      <w:pPr>
        <w:jc w:val="both"/>
        <w:outlineLvl w:val="0"/>
        <w:rPr>
          <w:rFonts w:eastAsia="Calibri" w:cs="Times New Roman"/>
        </w:rPr>
      </w:pPr>
      <w:r w:rsidRPr="0043289D">
        <w:rPr>
          <w:rFonts w:eastAsia="Calibri" w:cs="Times New Roman"/>
        </w:rPr>
        <w:t xml:space="preserve">El resultado obtenido del 1 de enero al </w:t>
      </w:r>
      <w:r>
        <w:rPr>
          <w:rFonts w:eastAsia="Calibri" w:cs="Times New Roman"/>
        </w:rPr>
        <w:t>31 de marzo</w:t>
      </w:r>
      <w:r w:rsidRPr="0043289D">
        <w:rPr>
          <w:rFonts w:eastAsia="Calibri" w:cs="Times New Roman"/>
        </w:rPr>
        <w:t xml:space="preserve"> de </w:t>
      </w:r>
      <w:r>
        <w:rPr>
          <w:rFonts w:eastAsia="Calibri" w:cs="Times New Roman"/>
        </w:rPr>
        <w:t>2024 representa un ahorro por $ 21,551,264</w:t>
      </w:r>
      <w:r w:rsidRPr="0043289D">
        <w:rPr>
          <w:rFonts w:eastAsia="Calibri" w:cs="Times New Roman"/>
        </w:rPr>
        <w:t xml:space="preserv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3D356669" w14:textId="77777777" w:rsidR="00B62EBA" w:rsidRPr="0043289D" w:rsidRDefault="00B62EBA" w:rsidP="00B62EBA">
      <w:pPr>
        <w:jc w:val="both"/>
        <w:outlineLvl w:val="0"/>
        <w:rPr>
          <w:rFonts w:eastAsia="Calibri" w:cs="Times New Roman"/>
        </w:rPr>
      </w:pPr>
    </w:p>
    <w:p w14:paraId="44A6B18C"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Ingresos y otros beneficios</w:t>
      </w:r>
    </w:p>
    <w:p w14:paraId="49F614CF" w14:textId="77777777" w:rsidR="00B62EBA" w:rsidRPr="0043289D" w:rsidRDefault="00B62EBA" w:rsidP="00B62EBA">
      <w:pPr>
        <w:jc w:val="both"/>
        <w:outlineLvl w:val="0"/>
        <w:rPr>
          <w:rFonts w:eastAsia="Calibri" w:cs="Times New Roman"/>
        </w:rPr>
      </w:pPr>
    </w:p>
    <w:p w14:paraId="008937F3" w14:textId="77777777" w:rsidR="00B62EBA" w:rsidRPr="0043289D" w:rsidRDefault="00B62EBA" w:rsidP="00B62EBA">
      <w:pPr>
        <w:jc w:val="both"/>
        <w:outlineLvl w:val="0"/>
        <w:rPr>
          <w:rFonts w:eastAsia="Calibri" w:cs="Times New Roman"/>
        </w:rPr>
      </w:pPr>
      <w:r>
        <w:rPr>
          <w:rFonts w:eastAsia="Calibri" w:cs="Times New Roman"/>
        </w:rPr>
        <w:t xml:space="preserve">Los ingresos ascienden a $ 262,641,145 </w:t>
      </w:r>
      <w:r w:rsidRPr="0043289D">
        <w:rPr>
          <w:rFonts w:eastAsia="Calibri" w:cs="Times New Roman"/>
        </w:rPr>
        <w:t>pesos, recursos otorgados para la operación y funcionamiento del Poder Judicial, principalmente de las transferencias, a</w:t>
      </w:r>
      <w:r>
        <w:rPr>
          <w:rFonts w:eastAsia="Calibri" w:cs="Times New Roman"/>
        </w:rPr>
        <w:t>sí como, por las bonificaciones y</w:t>
      </w:r>
      <w:r w:rsidRPr="0043289D">
        <w:rPr>
          <w:rFonts w:eastAsia="Calibri" w:cs="Times New Roman"/>
        </w:rPr>
        <w:t xml:space="preserve"> los redondeos a favor en el pago de impuestos. </w:t>
      </w:r>
    </w:p>
    <w:p w14:paraId="2B340439" w14:textId="77777777" w:rsidR="00B62EBA" w:rsidRPr="0043289D" w:rsidRDefault="00B62EBA" w:rsidP="00B62EBA">
      <w:pPr>
        <w:jc w:val="both"/>
        <w:outlineLvl w:val="0"/>
        <w:rPr>
          <w:rFonts w:eastAsia="Calibri" w:cs="Times New Roman"/>
          <w:b/>
          <w:bCs/>
          <w:i/>
        </w:rPr>
      </w:pPr>
    </w:p>
    <w:p w14:paraId="0592D93A"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Gastos y otras pérdidas</w:t>
      </w:r>
    </w:p>
    <w:p w14:paraId="6DA42EDE" w14:textId="77777777" w:rsidR="00B62EBA" w:rsidRPr="0043289D" w:rsidRDefault="00B62EBA" w:rsidP="00B62EBA">
      <w:pPr>
        <w:jc w:val="both"/>
        <w:outlineLvl w:val="0"/>
        <w:rPr>
          <w:rFonts w:eastAsia="Calibri" w:cs="Times New Roman"/>
          <w:b/>
          <w:bCs/>
          <w:i/>
          <w:iCs/>
        </w:rPr>
      </w:pPr>
    </w:p>
    <w:p w14:paraId="4EA6E3F6" w14:textId="77777777" w:rsidR="00B62EBA" w:rsidRPr="0043289D" w:rsidRDefault="00B62EBA" w:rsidP="00B62EBA">
      <w:pPr>
        <w:jc w:val="both"/>
        <w:outlineLvl w:val="0"/>
        <w:rPr>
          <w:rFonts w:eastAsia="Calibri" w:cs="Times New Roman"/>
        </w:rPr>
      </w:pPr>
      <w:r w:rsidRPr="0043289D">
        <w:rPr>
          <w:rFonts w:eastAsia="Calibri" w:cs="Times New Roman"/>
        </w:rPr>
        <w:t xml:space="preserve">Los gastos y otras pérdidas son aquellas cuentas que registran los gastos de funcionamiento del Poder Judicial, aplicados en proyectos a favor de la ciudadanía, así como, las diferencias y los redondeos a cargo por concepto de pagos de impuestos y facturas. </w:t>
      </w:r>
    </w:p>
    <w:p w14:paraId="73842669" w14:textId="77777777" w:rsidR="00B62EBA" w:rsidRPr="0043289D" w:rsidRDefault="00B62EBA" w:rsidP="00B62EBA">
      <w:pPr>
        <w:jc w:val="both"/>
        <w:outlineLvl w:val="0"/>
        <w:rPr>
          <w:rFonts w:eastAsia="Calibri" w:cs="Times New Roman"/>
        </w:rPr>
      </w:pPr>
    </w:p>
    <w:p w14:paraId="2FC28661" w14:textId="77777777" w:rsidR="00B62EBA" w:rsidRPr="0043289D" w:rsidRDefault="00B62EBA" w:rsidP="00B62EBA">
      <w:pPr>
        <w:jc w:val="both"/>
        <w:outlineLvl w:val="0"/>
        <w:rPr>
          <w:rFonts w:eastAsia="Calibri" w:cs="Times New Roman"/>
        </w:rPr>
      </w:pPr>
      <w:r w:rsidRPr="0043289D">
        <w:rPr>
          <w:rFonts w:eastAsia="Calibri" w:cs="Times New Roman"/>
        </w:rPr>
        <w:t>También, se encuentra el registro de aquellos bienes enajenables e inventariables, cuyo costo unitario de adquisición no sobrepasa 70 veces el valor diario de la Unidad de Medida y Actualización (UMA).</w:t>
      </w:r>
    </w:p>
    <w:p w14:paraId="54A9F102" w14:textId="77777777" w:rsidR="00B62EBA" w:rsidRPr="0043289D" w:rsidRDefault="00B62EBA" w:rsidP="00B62EBA">
      <w:pPr>
        <w:jc w:val="both"/>
        <w:outlineLvl w:val="0"/>
        <w:rPr>
          <w:rFonts w:eastAsia="Calibri" w:cs="Times New Roman"/>
        </w:rPr>
      </w:pPr>
    </w:p>
    <w:p w14:paraId="168FB54B" w14:textId="77777777" w:rsidR="00B62EBA" w:rsidRPr="0043289D" w:rsidRDefault="00B62EBA" w:rsidP="00B62EBA">
      <w:pPr>
        <w:jc w:val="both"/>
        <w:outlineLvl w:val="0"/>
        <w:rPr>
          <w:rFonts w:eastAsia="Calibri" w:cs="Times New Roman"/>
        </w:rPr>
      </w:pPr>
      <w:r w:rsidRPr="0043289D">
        <w:rPr>
          <w:rFonts w:eastAsia="Calibri" w:cs="Times New Roman"/>
        </w:rPr>
        <w:t>Este ru</w:t>
      </w:r>
      <w:r>
        <w:rPr>
          <w:rFonts w:eastAsia="Calibri" w:cs="Times New Roman"/>
        </w:rPr>
        <w:t xml:space="preserve">bro asciende a un importe de $ 241,089,881 </w:t>
      </w:r>
      <w:r w:rsidRPr="0043289D">
        <w:rPr>
          <w:rFonts w:eastAsia="Calibri" w:cs="Times New Roman"/>
        </w:rPr>
        <w:t>pesos.</w:t>
      </w:r>
    </w:p>
    <w:p w14:paraId="222AB060" w14:textId="77777777" w:rsidR="00B62EBA" w:rsidRDefault="00B62EBA" w:rsidP="00B62EBA">
      <w:pPr>
        <w:jc w:val="both"/>
        <w:outlineLvl w:val="0"/>
        <w:rPr>
          <w:rFonts w:eastAsia="Calibri" w:cs="Times New Roman"/>
        </w:rPr>
      </w:pPr>
    </w:p>
    <w:p w14:paraId="5ABD1A35" w14:textId="334ADC8D" w:rsidR="00B62EBA" w:rsidRDefault="00B62EBA" w:rsidP="00B62EBA">
      <w:pPr>
        <w:jc w:val="both"/>
        <w:outlineLvl w:val="0"/>
        <w:rPr>
          <w:rFonts w:eastAsia="Calibri" w:cs="Times New Roman"/>
        </w:rPr>
      </w:pPr>
    </w:p>
    <w:p w14:paraId="59FBE8DC" w14:textId="30211F62" w:rsidR="00B62EBA" w:rsidRDefault="00B62EBA" w:rsidP="00B62EBA">
      <w:pPr>
        <w:jc w:val="both"/>
        <w:outlineLvl w:val="0"/>
        <w:rPr>
          <w:rFonts w:eastAsia="Calibri" w:cs="Times New Roman"/>
        </w:rPr>
      </w:pPr>
    </w:p>
    <w:p w14:paraId="01BDB5D1" w14:textId="65F4C3C7" w:rsidR="00B62EBA" w:rsidRDefault="00B62EBA" w:rsidP="00B62EBA">
      <w:pPr>
        <w:jc w:val="both"/>
        <w:outlineLvl w:val="0"/>
        <w:rPr>
          <w:rFonts w:eastAsia="Calibri" w:cs="Times New Roman"/>
        </w:rPr>
      </w:pPr>
    </w:p>
    <w:p w14:paraId="7A07939E" w14:textId="77777777" w:rsidR="00B62EBA" w:rsidRPr="0043289D" w:rsidRDefault="00B62EBA" w:rsidP="00B62EBA">
      <w:pPr>
        <w:jc w:val="both"/>
        <w:outlineLvl w:val="0"/>
        <w:rPr>
          <w:rFonts w:eastAsia="Calibri" w:cs="Times New Roman"/>
        </w:rPr>
      </w:pPr>
    </w:p>
    <w:p w14:paraId="23A33A19" w14:textId="77777777" w:rsidR="00B62EBA" w:rsidRPr="0043289D" w:rsidRDefault="00B62EBA" w:rsidP="00B62EBA">
      <w:pPr>
        <w:jc w:val="both"/>
        <w:rPr>
          <w:rFonts w:eastAsia="Calibri" w:cs="Arial"/>
          <w:b/>
          <w:bCs/>
          <w:caps/>
          <w:szCs w:val="20"/>
          <w:lang w:val="es-ES" w:eastAsia="es-ES"/>
        </w:rPr>
      </w:pPr>
      <w:r w:rsidRPr="0043289D">
        <w:rPr>
          <w:rFonts w:eastAsia="Calibri" w:cs="Arial"/>
          <w:b/>
          <w:bCs/>
          <w:szCs w:val="20"/>
          <w:lang w:val="es-ES" w:eastAsia="es-ES"/>
        </w:rPr>
        <w:lastRenderedPageBreak/>
        <w:t>Notas al estado de situación financiera</w:t>
      </w:r>
    </w:p>
    <w:p w14:paraId="47F89890" w14:textId="77777777" w:rsidR="00B62EBA" w:rsidRPr="0043289D" w:rsidRDefault="00B62EBA" w:rsidP="00B62EBA">
      <w:pPr>
        <w:outlineLvl w:val="0"/>
        <w:rPr>
          <w:rFonts w:eastAsia="Calibri" w:cs="Arial"/>
          <w:b/>
          <w:bCs/>
        </w:rPr>
      </w:pPr>
    </w:p>
    <w:p w14:paraId="2701B118"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Activo</w:t>
      </w:r>
    </w:p>
    <w:p w14:paraId="06F3A4F6" w14:textId="77777777" w:rsidR="00B62EBA" w:rsidRPr="0043289D" w:rsidRDefault="00B62EBA" w:rsidP="00B62EBA">
      <w:pPr>
        <w:jc w:val="both"/>
        <w:rPr>
          <w:rFonts w:eastAsia="Calibri" w:cs="Arial"/>
          <w:szCs w:val="20"/>
        </w:rPr>
      </w:pPr>
    </w:p>
    <w:bookmarkEnd w:id="2"/>
    <w:p w14:paraId="4C0C3088" w14:textId="77777777" w:rsidR="00B62EBA" w:rsidRPr="0043289D" w:rsidRDefault="00B62EBA" w:rsidP="00B62EBA">
      <w:pPr>
        <w:jc w:val="both"/>
        <w:rPr>
          <w:rFonts w:eastAsia="Calibri" w:cs="Times New Roman"/>
        </w:rPr>
      </w:pPr>
      <w:r w:rsidRPr="0043289D">
        <w:rPr>
          <w:rFonts w:eastAsia="Calibri" w:cs="Times New Roman"/>
        </w:rPr>
        <w:t>El activo se compone de los fondos, valores, derechos y bienes cuantificados en términos monetarios, los cuales controla y dispone el Poder Judicial para la prestación de servicios públicos, éste se integra como sigue:</w:t>
      </w:r>
    </w:p>
    <w:p w14:paraId="0AAEAFF8" w14:textId="77777777" w:rsidR="00B62EBA" w:rsidRPr="0043289D" w:rsidRDefault="00B62EBA" w:rsidP="00B62EBA">
      <w:pPr>
        <w:jc w:val="both"/>
        <w:rPr>
          <w:rFonts w:eastAsia="Calibri" w:cs="Times New Roman"/>
        </w:rPr>
      </w:pPr>
    </w:p>
    <w:p w14:paraId="6AA17969" w14:textId="77777777" w:rsidR="00B62EBA" w:rsidRPr="0043289D" w:rsidRDefault="00B62EBA" w:rsidP="00B62EBA">
      <w:pPr>
        <w:jc w:val="both"/>
        <w:rPr>
          <w:rFonts w:eastAsia="Calibri" w:cs="Arial"/>
          <w:b/>
          <w:bCs/>
          <w:szCs w:val="20"/>
          <w:lang w:val="es-ES" w:eastAsia="es-ES"/>
        </w:rPr>
      </w:pPr>
      <w:bookmarkStart w:id="3" w:name="_Hlk125467084"/>
      <w:r w:rsidRPr="0043289D">
        <w:rPr>
          <w:rFonts w:eastAsia="Calibri" w:cs="Arial"/>
          <w:b/>
          <w:bCs/>
          <w:szCs w:val="20"/>
          <w:lang w:val="es-ES" w:eastAsia="es-ES"/>
        </w:rPr>
        <w:t>Circulante</w:t>
      </w:r>
      <w:bookmarkEnd w:id="3"/>
    </w:p>
    <w:p w14:paraId="4FBB9373" w14:textId="395FA868" w:rsidR="00B62EBA" w:rsidRPr="00B62EBA" w:rsidRDefault="00B62EBA" w:rsidP="00B62EBA">
      <w:pPr>
        <w:jc w:val="center"/>
        <w:outlineLvl w:val="0"/>
        <w:rPr>
          <w:rFonts w:eastAsia="Calibri" w:cs="Arial"/>
          <w:b/>
          <w:bCs/>
          <w:i/>
          <w:szCs w:val="20"/>
        </w:rPr>
      </w:pPr>
      <w:bookmarkStart w:id="4" w:name="_Hlk125467109"/>
      <w:r w:rsidRPr="00B62EBA">
        <w:rPr>
          <w:rFonts w:eastAsia="Calibri" w:cs="Arial"/>
          <w:b/>
          <w:bCs/>
          <w:i/>
          <w:noProof/>
          <w:szCs w:val="20"/>
        </w:rPr>
        <w:drawing>
          <wp:inline distT="0" distB="0" distL="0" distR="0" wp14:anchorId="08DCAC33" wp14:editId="5CE2092E">
            <wp:extent cx="3729600" cy="269229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9600" cy="2692292"/>
                    </a:xfrm>
                    <a:prstGeom prst="rect">
                      <a:avLst/>
                    </a:prstGeom>
                    <a:noFill/>
                  </pic:spPr>
                </pic:pic>
              </a:graphicData>
            </a:graphic>
          </wp:inline>
        </w:drawing>
      </w:r>
    </w:p>
    <w:p w14:paraId="6A14889A" w14:textId="25CC7D3E" w:rsidR="00B62EBA" w:rsidRDefault="00B62EBA" w:rsidP="00B62EBA">
      <w:pPr>
        <w:jc w:val="both"/>
        <w:outlineLvl w:val="0"/>
        <w:rPr>
          <w:rFonts w:eastAsia="Calibri" w:cs="Arial"/>
          <w:b/>
          <w:bCs/>
          <w:i/>
          <w:szCs w:val="20"/>
        </w:rPr>
      </w:pPr>
    </w:p>
    <w:p w14:paraId="30ED76BC" w14:textId="77777777" w:rsidR="00B62EBA" w:rsidRPr="00B62EBA" w:rsidRDefault="00B62EBA" w:rsidP="00B62EBA">
      <w:pPr>
        <w:jc w:val="both"/>
        <w:outlineLvl w:val="0"/>
        <w:rPr>
          <w:rFonts w:eastAsia="Calibri" w:cs="Arial"/>
          <w:b/>
          <w:bCs/>
          <w:i/>
          <w:szCs w:val="20"/>
        </w:rPr>
      </w:pPr>
    </w:p>
    <w:p w14:paraId="30C97661" w14:textId="77777777" w:rsidR="00B62EBA" w:rsidRPr="0043289D" w:rsidRDefault="00B62EBA" w:rsidP="00B62EBA">
      <w:pPr>
        <w:jc w:val="both"/>
        <w:outlineLvl w:val="0"/>
        <w:rPr>
          <w:rFonts w:eastAsia="Calibri" w:cs="Arial"/>
          <w:b/>
          <w:bCs/>
          <w:i/>
          <w:szCs w:val="20"/>
          <w:u w:val="single"/>
        </w:rPr>
      </w:pPr>
      <w:r w:rsidRPr="0043289D">
        <w:rPr>
          <w:rFonts w:eastAsia="Calibri" w:cs="Arial"/>
          <w:b/>
          <w:bCs/>
          <w:i/>
          <w:szCs w:val="20"/>
          <w:u w:val="single"/>
        </w:rPr>
        <w:t>Efectivo y equivalentes</w:t>
      </w:r>
    </w:p>
    <w:bookmarkEnd w:id="4"/>
    <w:p w14:paraId="3BCF396F" w14:textId="77777777" w:rsidR="00B62EBA" w:rsidRPr="0043289D" w:rsidRDefault="00B62EBA" w:rsidP="00B62EBA">
      <w:pPr>
        <w:autoSpaceDE w:val="0"/>
        <w:autoSpaceDN w:val="0"/>
        <w:adjustRightInd w:val="0"/>
        <w:jc w:val="both"/>
        <w:rPr>
          <w:rFonts w:eastAsia="Calibri" w:cs="Times New Roman"/>
          <w:b/>
          <w:bCs/>
        </w:rPr>
      </w:pPr>
    </w:p>
    <w:p w14:paraId="17DB3B22"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Del 1 de enero al </w:t>
      </w:r>
      <w:r>
        <w:rPr>
          <w:rFonts w:eastAsia="Calibri" w:cs="Times New Roman"/>
        </w:rPr>
        <w:t>31 de marzo de 2024</w:t>
      </w:r>
      <w:r w:rsidRPr="0043289D">
        <w:rPr>
          <w:rFonts w:eastAsia="Calibri" w:cs="Times New Roman"/>
        </w:rPr>
        <w:t xml:space="preserve"> </w:t>
      </w:r>
      <w:r>
        <w:rPr>
          <w:rFonts w:eastAsia="Calibri" w:cs="Times New Roman"/>
        </w:rPr>
        <w:t>este rubro presenta la cifra de $ 189,555,522</w:t>
      </w:r>
      <w:r>
        <w:rPr>
          <w:rFonts w:eastAsia="Calibri" w:cs="Times New Roman"/>
          <w:color w:val="FF0000"/>
        </w:rPr>
        <w:t xml:space="preserve"> </w:t>
      </w:r>
      <w:r>
        <w:rPr>
          <w:rFonts w:eastAsia="Calibri" w:cs="Times New Roman"/>
        </w:rPr>
        <w:t>pesos, y representa el 99.1</w:t>
      </w:r>
      <w:r w:rsidRPr="0043289D">
        <w:rPr>
          <w:rFonts w:eastAsia="Calibri" w:cs="Times New Roman"/>
        </w:rPr>
        <w:t xml:space="preserve"> % del activo circulante, integrado en gran parte por la disponibilidad financiera en cuentas bancarias para cubrir </w:t>
      </w:r>
      <w:r w:rsidRPr="00B30E97">
        <w:rPr>
          <w:rFonts w:eastAsia="Calibri" w:cs="Times New Roman"/>
        </w:rPr>
        <w:t>los compromisos de pago a proveedores y prestadores de servicios</w:t>
      </w:r>
      <w:r>
        <w:rPr>
          <w:rFonts w:eastAsia="Calibri" w:cs="Times New Roman"/>
        </w:rPr>
        <w:t xml:space="preserve">, </w:t>
      </w:r>
      <w:r w:rsidRPr="0043289D">
        <w:rPr>
          <w:rFonts w:eastAsia="Calibri" w:cs="Times New Roman"/>
        </w:rPr>
        <w:t>pagos de sueldos, cuotas patronales e impuestos retenidos. Además, se compone por recursos de libre disposición para pago de gastos de operación y adeudos con proveedores.</w:t>
      </w:r>
    </w:p>
    <w:p w14:paraId="507838BB" w14:textId="77777777" w:rsidR="00B62EBA" w:rsidRPr="0043289D" w:rsidRDefault="00B62EBA" w:rsidP="00B62EBA">
      <w:pPr>
        <w:autoSpaceDE w:val="0"/>
        <w:autoSpaceDN w:val="0"/>
        <w:adjustRightInd w:val="0"/>
        <w:jc w:val="both"/>
        <w:rPr>
          <w:rFonts w:eastAsia="Calibri" w:cs="Times New Roman"/>
        </w:rPr>
      </w:pPr>
    </w:p>
    <w:p w14:paraId="2F252C4F"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Por otra </w:t>
      </w:r>
      <w:proofErr w:type="gramStart"/>
      <w:r w:rsidRPr="0043289D">
        <w:rPr>
          <w:rFonts w:eastAsia="Calibri" w:cs="Times New Roman"/>
        </w:rPr>
        <w:t>parte</w:t>
      </w:r>
      <w:proofErr w:type="gramEnd"/>
      <w:r w:rsidRPr="0043289D">
        <w:rPr>
          <w:rFonts w:eastAsia="Calibri" w:cs="Times New Roman"/>
        </w:rPr>
        <w:t xml:space="preserve"> se incluyen también:</w:t>
      </w:r>
    </w:p>
    <w:p w14:paraId="4021AC64" w14:textId="77777777" w:rsidR="00B62EBA" w:rsidRPr="0043289D" w:rsidRDefault="00B62EBA" w:rsidP="00B62EBA">
      <w:pPr>
        <w:autoSpaceDE w:val="0"/>
        <w:autoSpaceDN w:val="0"/>
        <w:adjustRightInd w:val="0"/>
        <w:jc w:val="both"/>
        <w:rPr>
          <w:rFonts w:eastAsia="Calibri" w:cs="Times New Roman"/>
        </w:rPr>
      </w:pPr>
    </w:p>
    <w:p w14:paraId="66DF3C10" w14:textId="77777777" w:rsidR="00B62EBA" w:rsidRPr="001D513C" w:rsidRDefault="00B62EBA" w:rsidP="00B62EBA">
      <w:pPr>
        <w:numPr>
          <w:ilvl w:val="0"/>
          <w:numId w:val="36"/>
        </w:numPr>
        <w:autoSpaceDE w:val="0"/>
        <w:autoSpaceDN w:val="0"/>
        <w:adjustRightInd w:val="0"/>
        <w:spacing w:after="120"/>
        <w:ind w:left="357" w:hanging="357"/>
        <w:jc w:val="both"/>
        <w:rPr>
          <w:rFonts w:eastAsia="Times New Roman" w:cs="Arial"/>
          <w:szCs w:val="20"/>
          <w:lang w:eastAsia="es-MX"/>
        </w:rPr>
      </w:pPr>
      <w:r w:rsidRPr="0043289D">
        <w:rPr>
          <w:rFonts w:eastAsia="Times New Roman" w:cs="Arial"/>
          <w:szCs w:val="20"/>
          <w:lang w:eastAsia="es-MX"/>
        </w:rPr>
        <w:t>Los depósitos en garantía por servicios básicos (Radio Móvil Dipsa S.A. de C.V.).</w:t>
      </w:r>
    </w:p>
    <w:p w14:paraId="1D101372" w14:textId="77777777" w:rsidR="00B62EBA" w:rsidRPr="0043289D" w:rsidRDefault="00B62EBA" w:rsidP="00B62EBA">
      <w:pPr>
        <w:autoSpaceDE w:val="0"/>
        <w:autoSpaceDN w:val="0"/>
        <w:adjustRightInd w:val="0"/>
        <w:jc w:val="both"/>
        <w:rPr>
          <w:rFonts w:eastAsia="Calibri" w:cs="Times New Roman"/>
          <w:b/>
          <w:i/>
        </w:rPr>
      </w:pPr>
    </w:p>
    <w:p w14:paraId="0CC6C9E5" w14:textId="77777777" w:rsidR="00B62EBA" w:rsidRPr="0043289D" w:rsidRDefault="00B62EBA" w:rsidP="00B62EBA">
      <w:pPr>
        <w:autoSpaceDE w:val="0"/>
        <w:autoSpaceDN w:val="0"/>
        <w:adjustRightInd w:val="0"/>
        <w:jc w:val="center"/>
        <w:rPr>
          <w:rFonts w:eastAsia="Calibri" w:cs="Times New Roman"/>
          <w:b/>
          <w:i/>
        </w:rPr>
      </w:pPr>
      <w:r w:rsidRPr="00A14F51">
        <w:rPr>
          <w:noProof/>
          <w:lang w:eastAsia="es-MX"/>
        </w:rPr>
        <w:drawing>
          <wp:inline distT="0" distB="0" distL="0" distR="0" wp14:anchorId="17B577A7" wp14:editId="27BC01CF">
            <wp:extent cx="3728085" cy="2101215"/>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85" cy="2101215"/>
                    </a:xfrm>
                    <a:prstGeom prst="rect">
                      <a:avLst/>
                    </a:prstGeom>
                    <a:noFill/>
                    <a:ln>
                      <a:noFill/>
                    </a:ln>
                  </pic:spPr>
                </pic:pic>
              </a:graphicData>
            </a:graphic>
          </wp:inline>
        </w:drawing>
      </w:r>
    </w:p>
    <w:p w14:paraId="413C02A0" w14:textId="77777777" w:rsidR="00B62EBA" w:rsidRDefault="00B62EBA" w:rsidP="00B62EBA">
      <w:pPr>
        <w:jc w:val="both"/>
        <w:outlineLvl w:val="0"/>
        <w:rPr>
          <w:rFonts w:eastAsia="Calibri" w:cs="Arial"/>
          <w:b/>
          <w:bCs/>
          <w:i/>
          <w:szCs w:val="20"/>
          <w:u w:val="single"/>
        </w:rPr>
      </w:pPr>
    </w:p>
    <w:p w14:paraId="363D82F3" w14:textId="6687112F" w:rsidR="00B62EBA" w:rsidRDefault="00B62EBA" w:rsidP="00B62EBA">
      <w:pPr>
        <w:jc w:val="both"/>
        <w:outlineLvl w:val="0"/>
        <w:rPr>
          <w:rFonts w:eastAsia="Calibri" w:cs="Arial"/>
          <w:b/>
          <w:bCs/>
          <w:i/>
          <w:szCs w:val="20"/>
          <w:u w:val="single"/>
        </w:rPr>
      </w:pPr>
    </w:p>
    <w:p w14:paraId="66AB325B" w14:textId="77777777" w:rsidR="00B62EBA" w:rsidRDefault="00B62EBA" w:rsidP="00B62EBA">
      <w:pPr>
        <w:jc w:val="both"/>
        <w:outlineLvl w:val="0"/>
        <w:rPr>
          <w:rFonts w:eastAsia="Calibri" w:cs="Arial"/>
          <w:b/>
          <w:bCs/>
          <w:i/>
          <w:szCs w:val="20"/>
          <w:u w:val="single"/>
        </w:rPr>
      </w:pPr>
    </w:p>
    <w:p w14:paraId="70D58169" w14:textId="77777777" w:rsidR="00B62EBA" w:rsidRPr="0043289D" w:rsidRDefault="00B62EBA" w:rsidP="00B62EBA">
      <w:pPr>
        <w:jc w:val="both"/>
        <w:outlineLvl w:val="0"/>
        <w:rPr>
          <w:rFonts w:eastAsia="Calibri" w:cs="Arial"/>
          <w:b/>
          <w:bCs/>
          <w:i/>
          <w:szCs w:val="20"/>
          <w:u w:val="single"/>
        </w:rPr>
      </w:pPr>
      <w:r w:rsidRPr="0043289D">
        <w:rPr>
          <w:rFonts w:eastAsia="Calibri" w:cs="Arial"/>
          <w:b/>
          <w:bCs/>
          <w:i/>
          <w:szCs w:val="20"/>
          <w:u w:val="single"/>
        </w:rPr>
        <w:lastRenderedPageBreak/>
        <w:t>Derechos a recibir efectivo o equivalentes</w:t>
      </w:r>
    </w:p>
    <w:p w14:paraId="49D290E1" w14:textId="77777777" w:rsidR="00B62EBA" w:rsidRPr="0043289D" w:rsidRDefault="00B62EBA" w:rsidP="00B62EBA">
      <w:pPr>
        <w:autoSpaceDE w:val="0"/>
        <w:autoSpaceDN w:val="0"/>
        <w:adjustRightInd w:val="0"/>
        <w:jc w:val="both"/>
        <w:rPr>
          <w:rFonts w:eastAsia="Calibri" w:cs="Times New Roman"/>
        </w:rPr>
      </w:pPr>
    </w:p>
    <w:p w14:paraId="2E0CEBC5" w14:textId="77777777" w:rsidR="00B62EBA" w:rsidRDefault="00B62EBA" w:rsidP="00B62EBA">
      <w:pPr>
        <w:autoSpaceDE w:val="0"/>
        <w:autoSpaceDN w:val="0"/>
        <w:adjustRightInd w:val="0"/>
        <w:jc w:val="both"/>
        <w:rPr>
          <w:rFonts w:eastAsia="Calibri" w:cs="Times New Roman"/>
        </w:rPr>
      </w:pPr>
      <w:r w:rsidRPr="0043289D">
        <w:rPr>
          <w:rFonts w:eastAsia="Calibri" w:cs="Times New Roman"/>
        </w:rPr>
        <w:t>Este rubro del activo circulante</w:t>
      </w:r>
      <w:r>
        <w:rPr>
          <w:rFonts w:eastAsia="Calibri" w:cs="Times New Roman"/>
        </w:rPr>
        <w:t>, asciende a $ 1,647,005 pesos y se integra</w:t>
      </w:r>
      <w:r w:rsidRPr="0043289D">
        <w:rPr>
          <w:rFonts w:eastAsia="Calibri" w:cs="Times New Roman"/>
        </w:rPr>
        <w:t>,</w:t>
      </w:r>
      <w:r>
        <w:rPr>
          <w:rFonts w:eastAsia="Calibri" w:cs="Times New Roman"/>
        </w:rPr>
        <w:t xml:space="preserve"> por los préstamos concedidos a funcionarios y empleados, gastos pendientes de comprobar y las cuotas pagadas en demasía</w:t>
      </w:r>
      <w:r w:rsidRPr="0043289D">
        <w:rPr>
          <w:rFonts w:eastAsia="Calibri" w:cs="Times New Roman"/>
        </w:rPr>
        <w:t xml:space="preserve"> al </w:t>
      </w:r>
      <w:r>
        <w:rPr>
          <w:rFonts w:eastAsia="Calibri" w:cs="Times New Roman"/>
        </w:rPr>
        <w:t>31 de marzo de 2024</w:t>
      </w:r>
      <w:r w:rsidRPr="0043289D">
        <w:rPr>
          <w:rFonts w:eastAsia="Calibri" w:cs="Times New Roman"/>
        </w:rPr>
        <w:t>.</w:t>
      </w:r>
    </w:p>
    <w:p w14:paraId="40BDAAD9" w14:textId="77777777" w:rsidR="00B62EBA" w:rsidRDefault="00B62EBA" w:rsidP="00B62EBA">
      <w:pPr>
        <w:autoSpaceDE w:val="0"/>
        <w:autoSpaceDN w:val="0"/>
        <w:adjustRightInd w:val="0"/>
        <w:jc w:val="both"/>
        <w:rPr>
          <w:rFonts w:eastAsia="Calibri" w:cs="Times New Roman"/>
        </w:rPr>
      </w:pPr>
    </w:p>
    <w:p w14:paraId="47502F35" w14:textId="77777777" w:rsidR="00B62EBA" w:rsidRDefault="00B62EBA" w:rsidP="00B62EBA">
      <w:pPr>
        <w:autoSpaceDE w:val="0"/>
        <w:autoSpaceDN w:val="0"/>
        <w:adjustRightInd w:val="0"/>
        <w:jc w:val="both"/>
        <w:rPr>
          <w:rFonts w:eastAsia="Calibri" w:cs="Times New Roman"/>
        </w:rPr>
      </w:pPr>
      <w:r>
        <w:rPr>
          <w:rFonts w:eastAsia="Calibri" w:cs="Times New Roman"/>
        </w:rPr>
        <w:t>Este rubro representa el 0.9% del total del activo circulante.</w:t>
      </w:r>
    </w:p>
    <w:p w14:paraId="6A2FDF11" w14:textId="77777777" w:rsidR="00B62EBA" w:rsidRPr="0043289D" w:rsidRDefault="00B62EBA" w:rsidP="00B62EBA">
      <w:pPr>
        <w:autoSpaceDE w:val="0"/>
        <w:autoSpaceDN w:val="0"/>
        <w:adjustRightInd w:val="0"/>
        <w:jc w:val="both"/>
        <w:rPr>
          <w:rFonts w:eastAsia="Calibri" w:cs="Times New Roman"/>
        </w:rPr>
      </w:pPr>
    </w:p>
    <w:p w14:paraId="498D6EB6" w14:textId="77777777" w:rsidR="00B62EBA" w:rsidRPr="0043289D" w:rsidRDefault="00B62EBA" w:rsidP="00B62EBA">
      <w:pPr>
        <w:autoSpaceDE w:val="0"/>
        <w:autoSpaceDN w:val="0"/>
        <w:adjustRightInd w:val="0"/>
        <w:jc w:val="center"/>
        <w:rPr>
          <w:rFonts w:eastAsia="Calibri" w:cs="Times New Roman"/>
        </w:rPr>
      </w:pPr>
      <w:r w:rsidRPr="002D22F1">
        <w:rPr>
          <w:noProof/>
          <w:lang w:eastAsia="es-MX"/>
        </w:rPr>
        <w:drawing>
          <wp:inline distT="0" distB="0" distL="0" distR="0" wp14:anchorId="729E2841" wp14:editId="4D750CF8">
            <wp:extent cx="3729600" cy="1442671"/>
            <wp:effectExtent l="0" t="0" r="444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600" cy="1442671"/>
                    </a:xfrm>
                    <a:prstGeom prst="rect">
                      <a:avLst/>
                    </a:prstGeom>
                    <a:noFill/>
                    <a:ln>
                      <a:noFill/>
                    </a:ln>
                  </pic:spPr>
                </pic:pic>
              </a:graphicData>
            </a:graphic>
          </wp:inline>
        </w:drawing>
      </w:r>
    </w:p>
    <w:p w14:paraId="51DD064C" w14:textId="77777777" w:rsidR="00B62EBA" w:rsidRPr="0043289D" w:rsidRDefault="00B62EBA" w:rsidP="00B62EBA">
      <w:pPr>
        <w:autoSpaceDE w:val="0"/>
        <w:autoSpaceDN w:val="0"/>
        <w:adjustRightInd w:val="0"/>
        <w:jc w:val="center"/>
        <w:rPr>
          <w:rFonts w:eastAsia="Calibri" w:cs="Times New Roman"/>
        </w:rPr>
      </w:pPr>
    </w:p>
    <w:p w14:paraId="274764B5" w14:textId="77777777" w:rsidR="00B62EBA" w:rsidRPr="0043289D" w:rsidRDefault="00B62EBA" w:rsidP="00B62EBA">
      <w:pPr>
        <w:autoSpaceDE w:val="0"/>
        <w:autoSpaceDN w:val="0"/>
        <w:adjustRightInd w:val="0"/>
        <w:jc w:val="both"/>
        <w:rPr>
          <w:rFonts w:eastAsia="Calibri" w:cs="Times New Roman"/>
          <w:b/>
          <w:i/>
        </w:rPr>
      </w:pPr>
    </w:p>
    <w:p w14:paraId="78EF3816" w14:textId="77777777" w:rsidR="00B62EBA" w:rsidRPr="0043289D" w:rsidRDefault="00B62EBA" w:rsidP="00B62EBA">
      <w:pPr>
        <w:autoSpaceDE w:val="0"/>
        <w:autoSpaceDN w:val="0"/>
        <w:adjustRightInd w:val="0"/>
        <w:jc w:val="both"/>
        <w:rPr>
          <w:rFonts w:eastAsia="Calibri" w:cs="Times New Roman"/>
          <w:b/>
          <w:i/>
        </w:rPr>
      </w:pPr>
    </w:p>
    <w:p w14:paraId="0C479703"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No circulante</w:t>
      </w:r>
    </w:p>
    <w:p w14:paraId="3178FAAC" w14:textId="77777777" w:rsidR="00B62EBA" w:rsidRPr="0043289D" w:rsidRDefault="00B62EBA" w:rsidP="00B62EBA">
      <w:pPr>
        <w:autoSpaceDE w:val="0"/>
        <w:autoSpaceDN w:val="0"/>
        <w:adjustRightInd w:val="0"/>
        <w:jc w:val="both"/>
        <w:rPr>
          <w:rFonts w:eastAsia="Calibri" w:cs="Arial"/>
          <w:b/>
          <w:bCs/>
          <w:szCs w:val="20"/>
        </w:rPr>
      </w:pPr>
    </w:p>
    <w:p w14:paraId="09357540" w14:textId="77777777" w:rsidR="00B62EBA" w:rsidRPr="0043289D" w:rsidRDefault="00B62EBA" w:rsidP="00B62EBA">
      <w:pPr>
        <w:autoSpaceDE w:val="0"/>
        <w:autoSpaceDN w:val="0"/>
        <w:adjustRightInd w:val="0"/>
        <w:jc w:val="center"/>
        <w:rPr>
          <w:rFonts w:eastAsia="Calibri" w:cs="Arial"/>
          <w:b/>
          <w:bCs/>
          <w:szCs w:val="20"/>
        </w:rPr>
      </w:pPr>
      <w:r w:rsidRPr="008920B6">
        <w:rPr>
          <w:noProof/>
          <w:lang w:eastAsia="es-MX"/>
        </w:rPr>
        <w:drawing>
          <wp:inline distT="0" distB="0" distL="0" distR="0" wp14:anchorId="6B3DDFBD" wp14:editId="25C0EAFB">
            <wp:extent cx="3729600" cy="3501648"/>
            <wp:effectExtent l="0" t="0" r="444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9600" cy="3501648"/>
                    </a:xfrm>
                    <a:prstGeom prst="rect">
                      <a:avLst/>
                    </a:prstGeom>
                    <a:noFill/>
                    <a:ln>
                      <a:noFill/>
                    </a:ln>
                  </pic:spPr>
                </pic:pic>
              </a:graphicData>
            </a:graphic>
          </wp:inline>
        </w:drawing>
      </w:r>
    </w:p>
    <w:p w14:paraId="62DFC6C7" w14:textId="77777777" w:rsidR="00B62EBA" w:rsidRPr="0043289D" w:rsidRDefault="00B62EBA" w:rsidP="00B62EBA">
      <w:pPr>
        <w:autoSpaceDE w:val="0"/>
        <w:autoSpaceDN w:val="0"/>
        <w:adjustRightInd w:val="0"/>
        <w:jc w:val="both"/>
        <w:rPr>
          <w:rFonts w:eastAsia="Calibri" w:cs="Times New Roman"/>
          <w:b/>
          <w:i/>
        </w:rPr>
      </w:pPr>
    </w:p>
    <w:p w14:paraId="3DD9B8C7" w14:textId="77777777" w:rsidR="00B62EBA" w:rsidRPr="0043289D" w:rsidRDefault="00B62EBA" w:rsidP="00B62EBA">
      <w:pPr>
        <w:autoSpaceDE w:val="0"/>
        <w:autoSpaceDN w:val="0"/>
        <w:adjustRightInd w:val="0"/>
        <w:jc w:val="both"/>
        <w:rPr>
          <w:rFonts w:eastAsia="Calibri" w:cs="Times New Roman"/>
          <w:b/>
          <w:i/>
        </w:rPr>
      </w:pPr>
    </w:p>
    <w:p w14:paraId="64928721" w14:textId="77777777" w:rsidR="00B62EBA" w:rsidRPr="0043289D" w:rsidRDefault="00B62EBA" w:rsidP="00B62EBA">
      <w:pPr>
        <w:autoSpaceDE w:val="0"/>
        <w:autoSpaceDN w:val="0"/>
        <w:adjustRightInd w:val="0"/>
        <w:jc w:val="both"/>
        <w:outlineLvl w:val="0"/>
        <w:rPr>
          <w:rFonts w:eastAsia="Calibri" w:cs="Times New Roman"/>
          <w:b/>
          <w:bCs/>
          <w:i/>
          <w:iCs/>
          <w:u w:val="single"/>
        </w:rPr>
      </w:pPr>
      <w:r w:rsidRPr="0043289D">
        <w:rPr>
          <w:rFonts w:eastAsia="Calibri" w:cs="Times New Roman"/>
          <w:b/>
          <w:bCs/>
          <w:i/>
          <w:u w:val="single"/>
        </w:rPr>
        <w:t>Derechos a recibir efectivo o equivalentes a largo plazo</w:t>
      </w:r>
    </w:p>
    <w:p w14:paraId="6456D8D9" w14:textId="77777777" w:rsidR="00B62EBA" w:rsidRPr="0043289D" w:rsidRDefault="00B62EBA" w:rsidP="00B62EBA">
      <w:pPr>
        <w:autoSpaceDE w:val="0"/>
        <w:autoSpaceDN w:val="0"/>
        <w:adjustRightInd w:val="0"/>
        <w:jc w:val="both"/>
        <w:outlineLvl w:val="0"/>
        <w:rPr>
          <w:rFonts w:eastAsia="Calibri" w:cs="Times New Roman"/>
          <w:b/>
          <w:bCs/>
          <w:i/>
          <w:iCs/>
        </w:rPr>
      </w:pPr>
    </w:p>
    <w:p w14:paraId="72C9F131"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Este rubro representa el 0.2 % del activo no circulante y se compone principalmente por préstamos a cuenta de remuneraciones concedidos a funcionarios del Poder Judicial, y por fondo revolvente pendiente de ser comprobado, así como,</w:t>
      </w:r>
      <w:r>
        <w:rPr>
          <w:rFonts w:eastAsia="Calibri" w:cs="Times New Roman"/>
        </w:rPr>
        <w:t xml:space="preserve"> los gastos a comprobar,</w:t>
      </w:r>
      <w:r w:rsidRPr="0043289D">
        <w:rPr>
          <w:rFonts w:eastAsia="Calibri" w:cs="Times New Roman"/>
        </w:rPr>
        <w:t xml:space="preserve"> cargos bancarios por aclarar y préstamo interno del fondo auxiliar. </w:t>
      </w:r>
    </w:p>
    <w:p w14:paraId="4836E860" w14:textId="77777777" w:rsidR="00B62EBA" w:rsidRPr="0043289D" w:rsidRDefault="00B62EBA" w:rsidP="00B62EBA">
      <w:pPr>
        <w:autoSpaceDE w:val="0"/>
        <w:autoSpaceDN w:val="0"/>
        <w:adjustRightInd w:val="0"/>
        <w:jc w:val="both"/>
        <w:rPr>
          <w:rFonts w:eastAsia="Calibri" w:cs="Times New Roman"/>
        </w:rPr>
      </w:pPr>
    </w:p>
    <w:p w14:paraId="7D7D8336"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Al </w:t>
      </w:r>
      <w:r>
        <w:rPr>
          <w:rFonts w:eastAsia="Calibri" w:cs="Times New Roman"/>
        </w:rPr>
        <w:t xml:space="preserve">31 de marzo de 2024, presenta un saldo de $ 1,627,829 </w:t>
      </w:r>
      <w:r w:rsidRPr="0043289D">
        <w:rPr>
          <w:rFonts w:eastAsia="Calibri" w:cs="Times New Roman"/>
        </w:rPr>
        <w:t>pesos.</w:t>
      </w:r>
    </w:p>
    <w:p w14:paraId="531FB4BD" w14:textId="77777777" w:rsidR="00B62EBA" w:rsidRPr="0043289D" w:rsidRDefault="00B62EBA" w:rsidP="00B62EBA">
      <w:pPr>
        <w:autoSpaceDE w:val="0"/>
        <w:autoSpaceDN w:val="0"/>
        <w:adjustRightInd w:val="0"/>
        <w:jc w:val="both"/>
        <w:rPr>
          <w:rFonts w:eastAsia="Calibri" w:cs="Times New Roman"/>
        </w:rPr>
      </w:pPr>
    </w:p>
    <w:p w14:paraId="026595E6" w14:textId="77777777" w:rsidR="00B62EBA" w:rsidRPr="0043289D" w:rsidRDefault="00B62EBA" w:rsidP="00B62EBA">
      <w:pPr>
        <w:autoSpaceDE w:val="0"/>
        <w:autoSpaceDN w:val="0"/>
        <w:adjustRightInd w:val="0"/>
        <w:jc w:val="center"/>
        <w:outlineLvl w:val="0"/>
        <w:rPr>
          <w:rFonts w:eastAsia="Calibri" w:cs="Times New Roman"/>
          <w:b/>
          <w:bCs/>
          <w:i/>
        </w:rPr>
      </w:pPr>
      <w:r w:rsidRPr="000E5B02">
        <w:rPr>
          <w:noProof/>
          <w:lang w:eastAsia="es-MX"/>
        </w:rPr>
        <w:lastRenderedPageBreak/>
        <w:drawing>
          <wp:inline distT="0" distB="0" distL="0" distR="0" wp14:anchorId="5A9A1360" wp14:editId="579BDDC9">
            <wp:extent cx="3729600" cy="1222872"/>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9600" cy="1222872"/>
                    </a:xfrm>
                    <a:prstGeom prst="rect">
                      <a:avLst/>
                    </a:prstGeom>
                    <a:noFill/>
                    <a:ln>
                      <a:noFill/>
                    </a:ln>
                  </pic:spPr>
                </pic:pic>
              </a:graphicData>
            </a:graphic>
          </wp:inline>
        </w:drawing>
      </w:r>
    </w:p>
    <w:p w14:paraId="0E3446DD" w14:textId="77777777" w:rsidR="00B62EBA" w:rsidRPr="0043289D" w:rsidRDefault="00B62EBA" w:rsidP="00B62EBA">
      <w:pPr>
        <w:autoSpaceDE w:val="0"/>
        <w:autoSpaceDN w:val="0"/>
        <w:adjustRightInd w:val="0"/>
        <w:jc w:val="both"/>
        <w:outlineLvl w:val="0"/>
        <w:rPr>
          <w:rFonts w:eastAsia="Calibri" w:cs="Times New Roman"/>
          <w:b/>
          <w:bCs/>
          <w:i/>
        </w:rPr>
      </w:pPr>
    </w:p>
    <w:p w14:paraId="068F4982" w14:textId="77777777" w:rsidR="00B62EBA" w:rsidRPr="0043289D" w:rsidRDefault="00B62EBA" w:rsidP="00B62EBA">
      <w:pPr>
        <w:autoSpaceDE w:val="0"/>
        <w:autoSpaceDN w:val="0"/>
        <w:adjustRightInd w:val="0"/>
        <w:jc w:val="both"/>
        <w:outlineLvl w:val="0"/>
        <w:rPr>
          <w:rFonts w:eastAsia="Calibri" w:cs="Times New Roman"/>
          <w:b/>
          <w:bCs/>
          <w:i/>
        </w:rPr>
      </w:pPr>
    </w:p>
    <w:p w14:paraId="4203B3B4" w14:textId="77777777" w:rsidR="00B62EBA" w:rsidRPr="0043289D" w:rsidRDefault="00B62EBA" w:rsidP="00B62EBA">
      <w:pPr>
        <w:autoSpaceDE w:val="0"/>
        <w:autoSpaceDN w:val="0"/>
        <w:adjustRightInd w:val="0"/>
        <w:jc w:val="both"/>
        <w:outlineLvl w:val="0"/>
        <w:rPr>
          <w:rFonts w:eastAsia="Calibri" w:cs="Times New Roman"/>
          <w:b/>
          <w:bCs/>
          <w:i/>
          <w:u w:val="single"/>
        </w:rPr>
      </w:pPr>
      <w:r w:rsidRPr="0043289D">
        <w:rPr>
          <w:rFonts w:eastAsia="Calibri" w:cs="Times New Roman"/>
          <w:b/>
          <w:bCs/>
          <w:i/>
          <w:u w:val="single"/>
        </w:rPr>
        <w:t>Bienes inmuebles, infraestructura y construcciones en proceso</w:t>
      </w:r>
    </w:p>
    <w:p w14:paraId="2311D211" w14:textId="77777777" w:rsidR="00B62EBA" w:rsidRPr="0043289D" w:rsidRDefault="00B62EBA" w:rsidP="00B62EBA">
      <w:pPr>
        <w:autoSpaceDE w:val="0"/>
        <w:autoSpaceDN w:val="0"/>
        <w:adjustRightInd w:val="0"/>
        <w:jc w:val="both"/>
        <w:rPr>
          <w:rFonts w:eastAsia="Calibri" w:cs="Times New Roman"/>
        </w:rPr>
      </w:pPr>
    </w:p>
    <w:p w14:paraId="7DB48933"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Este rubro de</w:t>
      </w:r>
      <w:r>
        <w:rPr>
          <w:rFonts w:eastAsia="Calibri" w:cs="Times New Roman"/>
        </w:rPr>
        <w:t xml:space="preserve">l activo refleja la cifra de $ 513,391,998 </w:t>
      </w:r>
      <w:r w:rsidRPr="0043289D">
        <w:rPr>
          <w:rFonts w:eastAsia="Calibri" w:cs="Times New Roman"/>
        </w:rPr>
        <w:t xml:space="preserve">pesos y registra el valor de los bienes inmuebles como son: edificios no habitacionales, principalmente de los juzgados de garantía y tribunales de juicio oral, y terrenos, que posee el Poder Judicial, al </w:t>
      </w:r>
      <w:r>
        <w:rPr>
          <w:rFonts w:eastAsia="Calibri" w:cs="Times New Roman"/>
        </w:rPr>
        <w:t>31 de marzo de 2024</w:t>
      </w:r>
      <w:r w:rsidRPr="0043289D">
        <w:rPr>
          <w:rFonts w:eastAsia="Calibri" w:cs="Times New Roman"/>
        </w:rPr>
        <w:t>.</w:t>
      </w:r>
    </w:p>
    <w:p w14:paraId="12005E1E" w14:textId="77777777" w:rsidR="00B62EBA" w:rsidRPr="0043289D" w:rsidRDefault="00B62EBA" w:rsidP="00B62EBA">
      <w:pPr>
        <w:autoSpaceDE w:val="0"/>
        <w:autoSpaceDN w:val="0"/>
        <w:adjustRightInd w:val="0"/>
        <w:jc w:val="both"/>
        <w:rPr>
          <w:rFonts w:eastAsia="Calibri" w:cs="Times New Roman"/>
        </w:rPr>
      </w:pPr>
    </w:p>
    <w:p w14:paraId="332770A7" w14:textId="77777777" w:rsidR="00B62EBA" w:rsidRDefault="00B62EBA" w:rsidP="00B62EBA">
      <w:pPr>
        <w:autoSpaceDE w:val="0"/>
        <w:autoSpaceDN w:val="0"/>
        <w:adjustRightInd w:val="0"/>
        <w:jc w:val="both"/>
        <w:rPr>
          <w:rFonts w:eastAsia="Calibri" w:cs="Times New Roman"/>
        </w:rPr>
      </w:pPr>
      <w:r w:rsidRPr="0043289D">
        <w:rPr>
          <w:rFonts w:eastAsia="Calibri" w:cs="Times New Roman"/>
        </w:rPr>
        <w:t>Del total del activo no circu</w:t>
      </w:r>
      <w:r>
        <w:rPr>
          <w:rFonts w:eastAsia="Calibri" w:cs="Times New Roman"/>
        </w:rPr>
        <w:t>lante este rubro representa el 62.6</w:t>
      </w:r>
      <w:r w:rsidRPr="0043289D">
        <w:rPr>
          <w:rFonts w:eastAsia="Calibri" w:cs="Times New Roman"/>
        </w:rPr>
        <w:t xml:space="preserve"> %. </w:t>
      </w:r>
    </w:p>
    <w:p w14:paraId="0B1982A6" w14:textId="77777777" w:rsidR="00B62EBA" w:rsidRPr="0043289D" w:rsidRDefault="00B62EBA" w:rsidP="00B62EBA">
      <w:pPr>
        <w:autoSpaceDE w:val="0"/>
        <w:autoSpaceDN w:val="0"/>
        <w:adjustRightInd w:val="0"/>
        <w:jc w:val="both"/>
        <w:rPr>
          <w:rFonts w:eastAsia="Calibri" w:cs="Times New Roman"/>
        </w:rPr>
      </w:pPr>
    </w:p>
    <w:p w14:paraId="6CB5D4D2" w14:textId="77777777" w:rsidR="00B62EBA" w:rsidRPr="0043289D" w:rsidRDefault="00B62EBA" w:rsidP="00B62EBA">
      <w:pPr>
        <w:autoSpaceDE w:val="0"/>
        <w:autoSpaceDN w:val="0"/>
        <w:adjustRightInd w:val="0"/>
        <w:jc w:val="center"/>
        <w:outlineLvl w:val="0"/>
        <w:rPr>
          <w:rFonts w:eastAsia="Calibri" w:cs="Times New Roman"/>
          <w:b/>
          <w:bCs/>
          <w:i/>
          <w:iCs/>
        </w:rPr>
      </w:pPr>
      <w:r w:rsidRPr="008920B6">
        <w:rPr>
          <w:noProof/>
          <w:lang w:eastAsia="es-MX"/>
        </w:rPr>
        <w:drawing>
          <wp:inline distT="0" distB="0" distL="0" distR="0" wp14:anchorId="13A95EF8" wp14:editId="42C5CBA9">
            <wp:extent cx="3729600" cy="1275598"/>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9600" cy="1275598"/>
                    </a:xfrm>
                    <a:prstGeom prst="rect">
                      <a:avLst/>
                    </a:prstGeom>
                    <a:noFill/>
                    <a:ln>
                      <a:noFill/>
                    </a:ln>
                  </pic:spPr>
                </pic:pic>
              </a:graphicData>
            </a:graphic>
          </wp:inline>
        </w:drawing>
      </w:r>
    </w:p>
    <w:p w14:paraId="16B2772D" w14:textId="77777777" w:rsidR="00B62EBA" w:rsidRDefault="00B62EBA" w:rsidP="00B62EBA">
      <w:pPr>
        <w:autoSpaceDE w:val="0"/>
        <w:autoSpaceDN w:val="0"/>
        <w:adjustRightInd w:val="0"/>
        <w:jc w:val="both"/>
        <w:outlineLvl w:val="0"/>
        <w:rPr>
          <w:rFonts w:eastAsia="Calibri" w:cs="Times New Roman"/>
          <w:b/>
          <w:bCs/>
          <w:i/>
        </w:rPr>
      </w:pPr>
    </w:p>
    <w:p w14:paraId="5792A8A0" w14:textId="77777777" w:rsidR="00B62EBA" w:rsidRPr="0043289D" w:rsidRDefault="00B62EBA" w:rsidP="00B62EBA">
      <w:pPr>
        <w:autoSpaceDE w:val="0"/>
        <w:autoSpaceDN w:val="0"/>
        <w:adjustRightInd w:val="0"/>
        <w:jc w:val="both"/>
        <w:outlineLvl w:val="0"/>
        <w:rPr>
          <w:rFonts w:eastAsia="Calibri" w:cs="Times New Roman"/>
          <w:b/>
          <w:bCs/>
          <w:i/>
        </w:rPr>
      </w:pPr>
    </w:p>
    <w:p w14:paraId="305BF391" w14:textId="77777777" w:rsidR="00B62EBA" w:rsidRPr="0043289D" w:rsidRDefault="00B62EBA" w:rsidP="00B62EBA">
      <w:pPr>
        <w:autoSpaceDE w:val="0"/>
        <w:autoSpaceDN w:val="0"/>
        <w:adjustRightInd w:val="0"/>
        <w:jc w:val="both"/>
        <w:outlineLvl w:val="0"/>
        <w:rPr>
          <w:rFonts w:eastAsia="Calibri" w:cs="Times New Roman"/>
          <w:b/>
          <w:bCs/>
          <w:i/>
          <w:u w:val="single"/>
        </w:rPr>
      </w:pPr>
      <w:r w:rsidRPr="0043289D">
        <w:rPr>
          <w:rFonts w:eastAsia="Calibri" w:cs="Times New Roman"/>
          <w:b/>
          <w:bCs/>
          <w:i/>
          <w:u w:val="single"/>
        </w:rPr>
        <w:t>Bienes muebles</w:t>
      </w:r>
    </w:p>
    <w:p w14:paraId="529BDBAA" w14:textId="77777777" w:rsidR="00B62EBA" w:rsidRPr="0043289D" w:rsidRDefault="00B62EBA" w:rsidP="00B62EBA">
      <w:pPr>
        <w:autoSpaceDE w:val="0"/>
        <w:autoSpaceDN w:val="0"/>
        <w:adjustRightInd w:val="0"/>
        <w:jc w:val="both"/>
        <w:rPr>
          <w:rFonts w:eastAsia="Calibri" w:cs="Times New Roman"/>
        </w:rPr>
      </w:pPr>
    </w:p>
    <w:p w14:paraId="4046E85E"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El rubro bienes muebles del activo refleja el valor de los bienes muebles que posee el Poder Judicial y que al </w:t>
      </w:r>
      <w:r>
        <w:rPr>
          <w:rFonts w:eastAsia="Calibri" w:cs="Times New Roman"/>
        </w:rPr>
        <w:t>31 de marzo</w:t>
      </w:r>
      <w:r w:rsidRPr="0043289D">
        <w:rPr>
          <w:rFonts w:eastAsia="Calibri" w:cs="Times New Roman"/>
        </w:rPr>
        <w:t xml:space="preserve"> del </w:t>
      </w:r>
      <w:r>
        <w:rPr>
          <w:rFonts w:eastAsia="Calibri" w:cs="Times New Roman"/>
        </w:rPr>
        <w:t>2024, asciende a un monto de $ 241,356,667 pesos y representa el 29.4</w:t>
      </w:r>
      <w:r w:rsidRPr="0043289D">
        <w:rPr>
          <w:rFonts w:eastAsia="Calibri" w:cs="Times New Roman"/>
        </w:rPr>
        <w:t xml:space="preserve"> %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y el desarrollo de las funciones de los entes públicos que lo conforman. </w:t>
      </w:r>
    </w:p>
    <w:p w14:paraId="7B4D2F4B" w14:textId="77777777" w:rsidR="00B62EBA" w:rsidRPr="0043289D" w:rsidRDefault="00B62EBA" w:rsidP="00B62EBA">
      <w:pPr>
        <w:autoSpaceDE w:val="0"/>
        <w:autoSpaceDN w:val="0"/>
        <w:adjustRightInd w:val="0"/>
        <w:jc w:val="both"/>
        <w:rPr>
          <w:rFonts w:eastAsia="Calibri" w:cs="Times New Roman"/>
        </w:rPr>
      </w:pPr>
    </w:p>
    <w:p w14:paraId="5B1C4595" w14:textId="77777777" w:rsidR="00B62EBA" w:rsidRPr="0043289D" w:rsidRDefault="00B62EBA" w:rsidP="00B62EBA">
      <w:pPr>
        <w:autoSpaceDE w:val="0"/>
        <w:autoSpaceDN w:val="0"/>
        <w:adjustRightInd w:val="0"/>
        <w:jc w:val="center"/>
        <w:rPr>
          <w:rFonts w:eastAsia="Calibri" w:cs="Times New Roman"/>
        </w:rPr>
      </w:pPr>
      <w:r w:rsidRPr="00DF5601">
        <w:rPr>
          <w:noProof/>
          <w:lang w:eastAsia="es-MX"/>
        </w:rPr>
        <w:drawing>
          <wp:inline distT="0" distB="0" distL="0" distR="0" wp14:anchorId="7F4F2B21" wp14:editId="6D21002C">
            <wp:extent cx="3729600" cy="2392382"/>
            <wp:effectExtent l="0" t="0" r="444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9600" cy="2392382"/>
                    </a:xfrm>
                    <a:prstGeom prst="rect">
                      <a:avLst/>
                    </a:prstGeom>
                    <a:noFill/>
                    <a:ln>
                      <a:noFill/>
                    </a:ln>
                  </pic:spPr>
                </pic:pic>
              </a:graphicData>
            </a:graphic>
          </wp:inline>
        </w:drawing>
      </w:r>
    </w:p>
    <w:p w14:paraId="66A65059" w14:textId="77777777" w:rsidR="00B62EBA" w:rsidRPr="0043289D" w:rsidRDefault="00B62EBA" w:rsidP="00B62EBA">
      <w:pPr>
        <w:jc w:val="both"/>
        <w:rPr>
          <w:rFonts w:eastAsia="Calibri" w:cs="Times New Roman"/>
          <w:b/>
          <w:bCs/>
          <w:i/>
        </w:rPr>
      </w:pPr>
    </w:p>
    <w:p w14:paraId="156563C4" w14:textId="26108EAC" w:rsidR="00B62EBA" w:rsidRDefault="00B62EBA" w:rsidP="00B62EBA">
      <w:pPr>
        <w:jc w:val="both"/>
        <w:rPr>
          <w:rFonts w:eastAsia="Calibri" w:cs="Times New Roman"/>
          <w:b/>
          <w:bCs/>
          <w:i/>
        </w:rPr>
      </w:pPr>
    </w:p>
    <w:p w14:paraId="643E2B88" w14:textId="4018F273" w:rsidR="00B62EBA" w:rsidRDefault="00B62EBA" w:rsidP="00B62EBA">
      <w:pPr>
        <w:jc w:val="both"/>
        <w:rPr>
          <w:rFonts w:eastAsia="Calibri" w:cs="Times New Roman"/>
          <w:b/>
          <w:bCs/>
          <w:i/>
        </w:rPr>
      </w:pPr>
    </w:p>
    <w:p w14:paraId="1819EACA" w14:textId="77777777" w:rsidR="00B62EBA" w:rsidRPr="0043289D" w:rsidRDefault="00B62EBA" w:rsidP="00B62EBA">
      <w:pPr>
        <w:jc w:val="both"/>
        <w:rPr>
          <w:rFonts w:eastAsia="Calibri" w:cs="Times New Roman"/>
          <w:b/>
          <w:bCs/>
          <w:i/>
        </w:rPr>
      </w:pPr>
    </w:p>
    <w:p w14:paraId="6DB10C39" w14:textId="77777777" w:rsidR="00B62EBA" w:rsidRPr="0043289D" w:rsidRDefault="00B62EBA" w:rsidP="00B62EBA">
      <w:pPr>
        <w:autoSpaceDE w:val="0"/>
        <w:autoSpaceDN w:val="0"/>
        <w:adjustRightInd w:val="0"/>
        <w:jc w:val="both"/>
        <w:outlineLvl w:val="0"/>
        <w:rPr>
          <w:rFonts w:eastAsia="Calibri" w:cs="Times New Roman"/>
          <w:b/>
          <w:bCs/>
          <w:i/>
          <w:u w:val="single"/>
        </w:rPr>
      </w:pPr>
      <w:r w:rsidRPr="0043289D">
        <w:rPr>
          <w:rFonts w:eastAsia="Calibri" w:cs="Times New Roman"/>
          <w:b/>
          <w:bCs/>
          <w:i/>
          <w:u w:val="single"/>
        </w:rPr>
        <w:lastRenderedPageBreak/>
        <w:t>Activos intangibles</w:t>
      </w:r>
    </w:p>
    <w:p w14:paraId="3C2EE57C" w14:textId="77777777" w:rsidR="00B62EBA" w:rsidRPr="0043289D" w:rsidRDefault="00B62EBA" w:rsidP="00B62EBA">
      <w:pPr>
        <w:autoSpaceDE w:val="0"/>
        <w:autoSpaceDN w:val="0"/>
        <w:adjustRightInd w:val="0"/>
        <w:jc w:val="both"/>
        <w:rPr>
          <w:rFonts w:eastAsia="Calibri" w:cs="Times New Roman"/>
        </w:rPr>
      </w:pPr>
    </w:p>
    <w:p w14:paraId="6E26ACC5"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Al </w:t>
      </w:r>
      <w:r>
        <w:rPr>
          <w:rFonts w:eastAsia="Calibri" w:cs="Times New Roman"/>
        </w:rPr>
        <w:t>31 de marzo</w:t>
      </w:r>
      <w:r w:rsidRPr="0043289D">
        <w:rPr>
          <w:rFonts w:eastAsia="Calibri" w:cs="Times New Roman"/>
        </w:rPr>
        <w:t xml:space="preserve"> d</w:t>
      </w:r>
      <w:r>
        <w:rPr>
          <w:rFonts w:eastAsia="Calibri" w:cs="Times New Roman"/>
        </w:rPr>
        <w:t xml:space="preserve">e 2024, este rubro asciende </w:t>
      </w:r>
      <w:proofErr w:type="gramStart"/>
      <w:r>
        <w:rPr>
          <w:rFonts w:eastAsia="Calibri" w:cs="Times New Roman"/>
        </w:rPr>
        <w:t>a  $</w:t>
      </w:r>
      <w:proofErr w:type="gramEnd"/>
      <w:r>
        <w:rPr>
          <w:rFonts w:eastAsia="Calibri" w:cs="Times New Roman"/>
        </w:rPr>
        <w:t xml:space="preserve"> 21,144,757 </w:t>
      </w:r>
      <w:r w:rsidRPr="0043289D">
        <w:rPr>
          <w:rFonts w:eastAsia="Calibri" w:cs="Times New Roman"/>
        </w:rPr>
        <w:t xml:space="preserve">pesos y se integra por el valor de todos los bienes intangibles como son: software y licencias, los cuales son necesarios para la operatividad y funcionamiento de las áreas administrativas de los entes públicos que integran al Poder Judicial. </w:t>
      </w:r>
    </w:p>
    <w:p w14:paraId="5CBF02E4" w14:textId="77777777" w:rsidR="00B62EBA" w:rsidRPr="0043289D" w:rsidRDefault="00B62EBA" w:rsidP="00B62EBA">
      <w:pPr>
        <w:autoSpaceDE w:val="0"/>
        <w:autoSpaceDN w:val="0"/>
        <w:adjustRightInd w:val="0"/>
        <w:jc w:val="both"/>
        <w:rPr>
          <w:rFonts w:eastAsia="Calibri" w:cs="Times New Roman"/>
        </w:rPr>
      </w:pPr>
    </w:p>
    <w:p w14:paraId="26DED273" w14:textId="77777777" w:rsidR="00B62EBA" w:rsidRPr="0043289D" w:rsidRDefault="00B62EBA" w:rsidP="00B62EBA">
      <w:pPr>
        <w:autoSpaceDE w:val="0"/>
        <w:autoSpaceDN w:val="0"/>
        <w:adjustRightInd w:val="0"/>
        <w:jc w:val="both"/>
        <w:rPr>
          <w:rFonts w:eastAsia="Calibri" w:cs="Times New Roman"/>
        </w:rPr>
      </w:pPr>
      <w:r>
        <w:rPr>
          <w:rFonts w:eastAsia="Calibri" w:cs="Times New Roman"/>
        </w:rPr>
        <w:t>Representa el 2.6</w:t>
      </w:r>
      <w:r w:rsidRPr="0043289D">
        <w:rPr>
          <w:rFonts w:eastAsia="Calibri" w:cs="Times New Roman"/>
        </w:rPr>
        <w:t xml:space="preserve"> % del activo no circulante.</w:t>
      </w:r>
    </w:p>
    <w:p w14:paraId="4D3C55A7" w14:textId="77777777" w:rsidR="00B62EBA" w:rsidRPr="0043289D" w:rsidRDefault="00B62EBA" w:rsidP="00B62EBA">
      <w:pPr>
        <w:autoSpaceDE w:val="0"/>
        <w:autoSpaceDN w:val="0"/>
        <w:adjustRightInd w:val="0"/>
        <w:jc w:val="both"/>
        <w:rPr>
          <w:rFonts w:eastAsia="Calibri" w:cs="Times New Roman"/>
        </w:rPr>
      </w:pPr>
    </w:p>
    <w:p w14:paraId="1EAEB346" w14:textId="77777777" w:rsidR="00B62EBA" w:rsidRPr="0043289D" w:rsidRDefault="00B62EBA" w:rsidP="00B62EBA">
      <w:pPr>
        <w:autoSpaceDE w:val="0"/>
        <w:autoSpaceDN w:val="0"/>
        <w:adjustRightInd w:val="0"/>
        <w:jc w:val="center"/>
        <w:outlineLvl w:val="0"/>
        <w:rPr>
          <w:rFonts w:eastAsia="Calibri" w:cs="Times New Roman"/>
          <w:b/>
          <w:bCs/>
          <w:i/>
          <w:iCs/>
        </w:rPr>
      </w:pPr>
      <w:r w:rsidRPr="00DF5601">
        <w:rPr>
          <w:noProof/>
          <w:lang w:eastAsia="es-MX"/>
        </w:rPr>
        <w:drawing>
          <wp:inline distT="0" distB="0" distL="0" distR="0" wp14:anchorId="1866EB60" wp14:editId="20BD9152">
            <wp:extent cx="3729600" cy="1152358"/>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9600" cy="1152358"/>
                    </a:xfrm>
                    <a:prstGeom prst="rect">
                      <a:avLst/>
                    </a:prstGeom>
                    <a:noFill/>
                    <a:ln>
                      <a:noFill/>
                    </a:ln>
                  </pic:spPr>
                </pic:pic>
              </a:graphicData>
            </a:graphic>
          </wp:inline>
        </w:drawing>
      </w:r>
    </w:p>
    <w:p w14:paraId="2F204279" w14:textId="77777777" w:rsidR="00B62EBA" w:rsidRPr="0043289D" w:rsidRDefault="00B62EBA" w:rsidP="00B62EBA">
      <w:pPr>
        <w:autoSpaceDE w:val="0"/>
        <w:autoSpaceDN w:val="0"/>
        <w:adjustRightInd w:val="0"/>
        <w:jc w:val="both"/>
        <w:outlineLvl w:val="0"/>
        <w:rPr>
          <w:rFonts w:eastAsia="Calibri" w:cs="Times New Roman"/>
          <w:b/>
          <w:bCs/>
          <w:i/>
          <w:iCs/>
        </w:rPr>
      </w:pPr>
    </w:p>
    <w:p w14:paraId="03A2DEB9" w14:textId="77777777" w:rsidR="00B62EBA" w:rsidRPr="0043289D" w:rsidRDefault="00B62EBA" w:rsidP="00B62EBA">
      <w:pPr>
        <w:rPr>
          <w:rFonts w:eastAsia="Calibri" w:cs="Times New Roman"/>
          <w:b/>
          <w:bCs/>
          <w:i/>
          <w:u w:val="single"/>
        </w:rPr>
      </w:pPr>
    </w:p>
    <w:p w14:paraId="1A470C9E" w14:textId="77777777" w:rsidR="00B62EBA" w:rsidRPr="0043289D" w:rsidRDefault="00B62EBA" w:rsidP="00B62EBA">
      <w:pPr>
        <w:autoSpaceDE w:val="0"/>
        <w:autoSpaceDN w:val="0"/>
        <w:adjustRightInd w:val="0"/>
        <w:jc w:val="both"/>
        <w:outlineLvl w:val="0"/>
        <w:rPr>
          <w:rFonts w:eastAsia="Calibri" w:cs="Times New Roman"/>
          <w:b/>
          <w:bCs/>
          <w:i/>
          <w:u w:val="single"/>
        </w:rPr>
      </w:pPr>
      <w:r w:rsidRPr="0043289D">
        <w:rPr>
          <w:rFonts w:eastAsia="Calibri" w:cs="Times New Roman"/>
          <w:b/>
          <w:bCs/>
          <w:i/>
          <w:u w:val="single"/>
        </w:rPr>
        <w:t>Activos diferidos</w:t>
      </w:r>
    </w:p>
    <w:p w14:paraId="32BBBFB9" w14:textId="77777777" w:rsidR="00B62EBA" w:rsidRPr="0043289D" w:rsidRDefault="00B62EBA" w:rsidP="00B62EBA">
      <w:pPr>
        <w:jc w:val="both"/>
        <w:outlineLvl w:val="0"/>
        <w:rPr>
          <w:rFonts w:eastAsia="Calibri" w:cs="Times New Roman"/>
          <w:b/>
          <w:bCs/>
        </w:rPr>
      </w:pPr>
    </w:p>
    <w:p w14:paraId="67B6EA21" w14:textId="237CB01D" w:rsidR="00B62EBA" w:rsidRPr="00B56C51" w:rsidRDefault="00B62EBA" w:rsidP="00B62EBA">
      <w:pPr>
        <w:jc w:val="both"/>
        <w:rPr>
          <w:rFonts w:eastAsia="Calibri" w:cs="Times New Roman"/>
        </w:rPr>
      </w:pPr>
      <w:r w:rsidRPr="0043289D">
        <w:rPr>
          <w:rFonts w:eastAsia="Calibri" w:cs="Times New Roman"/>
        </w:rPr>
        <w:t>El s</w:t>
      </w:r>
      <w:r>
        <w:rPr>
          <w:rFonts w:eastAsia="Calibri" w:cs="Times New Roman"/>
        </w:rPr>
        <w:t xml:space="preserve">aldo de este rubro asciende a $ 34,585,585 </w:t>
      </w:r>
      <w:r w:rsidRPr="0043289D">
        <w:rPr>
          <w:rFonts w:eastAsia="Calibri" w:cs="Times New Roman"/>
        </w:rPr>
        <w:t xml:space="preserve">pesos y está integrado por las operaciones financieras enfocadas en servicios personales, gasto de operación y de inversión pendientes </w:t>
      </w:r>
      <w:r>
        <w:rPr>
          <w:rFonts w:eastAsia="Calibri" w:cs="Times New Roman"/>
        </w:rPr>
        <w:t xml:space="preserve">de regularizar, de los cuales de los cuales $ 15,420,865 </w:t>
      </w:r>
      <w:r w:rsidRPr="00B56C51">
        <w:rPr>
          <w:rFonts w:eastAsia="Calibri" w:cs="Times New Roman"/>
        </w:rPr>
        <w:t>pesos correspond</w:t>
      </w:r>
      <w:r>
        <w:rPr>
          <w:rFonts w:eastAsia="Calibri" w:cs="Times New Roman"/>
        </w:rPr>
        <w:t xml:space="preserve">en a ejercicios anteriores y $ 19,164,720 </w:t>
      </w:r>
      <w:r w:rsidRPr="00B56C51">
        <w:rPr>
          <w:rFonts w:eastAsia="Calibri" w:cs="Times New Roman"/>
        </w:rPr>
        <w:t>pesos del periodo que se informa.</w:t>
      </w:r>
    </w:p>
    <w:p w14:paraId="6F40F097" w14:textId="77777777" w:rsidR="00B62EBA" w:rsidRPr="0043289D" w:rsidRDefault="00B62EBA" w:rsidP="00B62EBA">
      <w:pPr>
        <w:jc w:val="both"/>
        <w:rPr>
          <w:rFonts w:eastAsia="Calibri" w:cs="Times New Roman"/>
        </w:rPr>
      </w:pPr>
    </w:p>
    <w:p w14:paraId="295AD3AF" w14:textId="77777777" w:rsidR="00B62EBA" w:rsidRPr="0043289D" w:rsidRDefault="00B62EBA" w:rsidP="00B62EBA">
      <w:pPr>
        <w:jc w:val="both"/>
        <w:rPr>
          <w:rFonts w:eastAsia="Calibri" w:cs="Times New Roman"/>
        </w:rPr>
      </w:pPr>
    </w:p>
    <w:p w14:paraId="1C7799BF"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Al </w:t>
      </w:r>
      <w:r>
        <w:rPr>
          <w:rFonts w:eastAsia="Calibri" w:cs="Times New Roman"/>
        </w:rPr>
        <w:t>31 de marzo de 2024</w:t>
      </w:r>
      <w:r w:rsidRPr="0043289D">
        <w:rPr>
          <w:rFonts w:eastAsia="Calibri" w:cs="Times New Roman"/>
        </w:rPr>
        <w:t xml:space="preserve">, este rubro </w:t>
      </w:r>
      <w:r>
        <w:rPr>
          <w:rFonts w:eastAsia="Calibri" w:cs="Times New Roman"/>
        </w:rPr>
        <w:t>representa el 4.2</w:t>
      </w:r>
      <w:r w:rsidRPr="0043289D">
        <w:rPr>
          <w:rFonts w:eastAsia="Calibri" w:cs="Times New Roman"/>
        </w:rPr>
        <w:t xml:space="preserve"> % respecto al total del activo no circulante.</w:t>
      </w:r>
    </w:p>
    <w:p w14:paraId="3351FE91" w14:textId="77777777" w:rsidR="00B62EBA" w:rsidRPr="0043289D" w:rsidRDefault="00B62EBA" w:rsidP="00B62EBA">
      <w:pPr>
        <w:tabs>
          <w:tab w:val="left" w:pos="5774"/>
          <w:tab w:val="left" w:pos="6439"/>
        </w:tabs>
        <w:autoSpaceDE w:val="0"/>
        <w:autoSpaceDN w:val="0"/>
        <w:adjustRightInd w:val="0"/>
        <w:jc w:val="both"/>
        <w:outlineLvl w:val="0"/>
        <w:rPr>
          <w:rFonts w:eastAsia="Calibri" w:cs="Times New Roman"/>
          <w:b/>
          <w:bCs/>
          <w:i/>
          <w:iCs/>
        </w:rPr>
      </w:pPr>
    </w:p>
    <w:p w14:paraId="6B9FD3C5" w14:textId="77777777" w:rsidR="00B62EBA" w:rsidRPr="0043289D" w:rsidRDefault="00B62EBA" w:rsidP="00B62EBA">
      <w:pPr>
        <w:autoSpaceDE w:val="0"/>
        <w:autoSpaceDN w:val="0"/>
        <w:adjustRightInd w:val="0"/>
        <w:jc w:val="center"/>
        <w:outlineLvl w:val="0"/>
        <w:rPr>
          <w:rFonts w:eastAsia="Calibri" w:cs="Times New Roman"/>
          <w:b/>
          <w:bCs/>
          <w:i/>
          <w:iCs/>
        </w:rPr>
      </w:pPr>
      <w:r w:rsidRPr="00DF5601">
        <w:rPr>
          <w:noProof/>
          <w:lang w:eastAsia="es-MX"/>
        </w:rPr>
        <w:drawing>
          <wp:inline distT="0" distB="0" distL="0" distR="0" wp14:anchorId="728B6EFA" wp14:editId="28BD89C1">
            <wp:extent cx="3729600" cy="958605"/>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9600" cy="958605"/>
                    </a:xfrm>
                    <a:prstGeom prst="rect">
                      <a:avLst/>
                    </a:prstGeom>
                    <a:noFill/>
                    <a:ln>
                      <a:noFill/>
                    </a:ln>
                  </pic:spPr>
                </pic:pic>
              </a:graphicData>
            </a:graphic>
          </wp:inline>
        </w:drawing>
      </w:r>
    </w:p>
    <w:p w14:paraId="6D8C1743" w14:textId="77777777" w:rsidR="00B62EBA" w:rsidRPr="0043289D" w:rsidRDefault="00B62EBA" w:rsidP="00B62EBA">
      <w:pPr>
        <w:autoSpaceDE w:val="0"/>
        <w:autoSpaceDN w:val="0"/>
        <w:adjustRightInd w:val="0"/>
        <w:jc w:val="both"/>
        <w:outlineLvl w:val="0"/>
        <w:rPr>
          <w:rFonts w:eastAsia="Calibri" w:cs="Times New Roman"/>
          <w:b/>
          <w:bCs/>
          <w:i/>
        </w:rPr>
      </w:pPr>
    </w:p>
    <w:p w14:paraId="3265585B" w14:textId="77777777" w:rsidR="00B62EBA" w:rsidRPr="0043289D" w:rsidRDefault="00B62EBA" w:rsidP="00B62EBA">
      <w:pPr>
        <w:autoSpaceDE w:val="0"/>
        <w:autoSpaceDN w:val="0"/>
        <w:adjustRightInd w:val="0"/>
        <w:jc w:val="both"/>
        <w:outlineLvl w:val="0"/>
        <w:rPr>
          <w:rFonts w:eastAsia="Calibri" w:cs="Times New Roman"/>
          <w:b/>
          <w:bCs/>
          <w:i/>
        </w:rPr>
      </w:pPr>
    </w:p>
    <w:p w14:paraId="74FB6E00" w14:textId="77777777" w:rsidR="00B62EBA" w:rsidRPr="0043289D" w:rsidRDefault="00B62EBA" w:rsidP="00B62EBA">
      <w:pPr>
        <w:autoSpaceDE w:val="0"/>
        <w:autoSpaceDN w:val="0"/>
        <w:adjustRightInd w:val="0"/>
        <w:jc w:val="both"/>
        <w:outlineLvl w:val="0"/>
        <w:rPr>
          <w:rFonts w:eastAsia="Calibri" w:cs="Times New Roman"/>
          <w:b/>
          <w:bCs/>
          <w:i/>
          <w:u w:val="single"/>
        </w:rPr>
      </w:pPr>
      <w:r w:rsidRPr="0043289D">
        <w:rPr>
          <w:rFonts w:eastAsia="Calibri" w:cs="Times New Roman"/>
          <w:b/>
          <w:bCs/>
          <w:i/>
          <w:u w:val="single"/>
        </w:rPr>
        <w:t>Otros activos no circulantes</w:t>
      </w:r>
    </w:p>
    <w:p w14:paraId="6CB7F91F" w14:textId="77777777" w:rsidR="00B62EBA" w:rsidRPr="0043289D" w:rsidRDefault="00B62EBA" w:rsidP="00B62EBA">
      <w:pPr>
        <w:jc w:val="both"/>
        <w:outlineLvl w:val="0"/>
        <w:rPr>
          <w:rFonts w:eastAsia="Calibri" w:cs="Times New Roman"/>
          <w:b/>
          <w:bCs/>
        </w:rPr>
      </w:pPr>
    </w:p>
    <w:p w14:paraId="68DD15AB" w14:textId="77777777" w:rsidR="00B62EBA" w:rsidRPr="0043289D" w:rsidRDefault="00B62EBA" w:rsidP="00B62EBA">
      <w:pPr>
        <w:jc w:val="both"/>
        <w:rPr>
          <w:rFonts w:eastAsia="Calibri" w:cs="Times New Roman"/>
        </w:rPr>
      </w:pPr>
      <w:r w:rsidRPr="0043289D">
        <w:rPr>
          <w:rFonts w:eastAsia="Calibri" w:cs="Times New Roman"/>
        </w:rPr>
        <w:t>Los otros activos no circulantes, reflejan el valor de los bienes inmuebles del Poder Judicial, que se encuentran bajo contrato de comodato, estos bienes se otorgan entre entes públicos principalmente los Juzgados Civiles y Mixtos.</w:t>
      </w:r>
    </w:p>
    <w:p w14:paraId="04952142" w14:textId="77777777" w:rsidR="00B62EBA" w:rsidRPr="0043289D" w:rsidRDefault="00B62EBA" w:rsidP="00B62EBA">
      <w:pPr>
        <w:jc w:val="both"/>
        <w:rPr>
          <w:rFonts w:eastAsia="Calibri" w:cs="Times New Roman"/>
        </w:rPr>
      </w:pPr>
    </w:p>
    <w:p w14:paraId="6829962C" w14:textId="77777777" w:rsidR="00B62EBA" w:rsidRPr="0043289D" w:rsidRDefault="00B62EBA" w:rsidP="00B62EBA">
      <w:pPr>
        <w:jc w:val="both"/>
        <w:rPr>
          <w:rFonts w:eastAsia="Calibri" w:cs="Times New Roman"/>
        </w:rPr>
      </w:pPr>
      <w:r w:rsidRPr="0043289D">
        <w:rPr>
          <w:rFonts w:eastAsia="Calibri" w:cs="Times New Roman"/>
        </w:rPr>
        <w:t xml:space="preserve">Al </w:t>
      </w:r>
      <w:r>
        <w:rPr>
          <w:rFonts w:eastAsia="Calibri" w:cs="Times New Roman"/>
        </w:rPr>
        <w:t>31 de marzo de 2024</w:t>
      </w:r>
      <w:r w:rsidRPr="0043289D">
        <w:rPr>
          <w:rFonts w:eastAsia="Calibri" w:cs="Times New Roman"/>
        </w:rPr>
        <w:t>, el sa</w:t>
      </w:r>
      <w:r>
        <w:rPr>
          <w:rFonts w:eastAsia="Calibri" w:cs="Times New Roman"/>
        </w:rPr>
        <w:t xml:space="preserve">ldo de este rubro asciende a $ 8,016,181 </w:t>
      </w:r>
      <w:r w:rsidRPr="0043289D">
        <w:rPr>
          <w:rFonts w:eastAsia="Calibri" w:cs="Times New Roman"/>
        </w:rPr>
        <w:t>pesos y representa el 1 % respecto del total del activo no circulante.</w:t>
      </w:r>
    </w:p>
    <w:p w14:paraId="1E7314D7" w14:textId="77777777" w:rsidR="00B62EBA" w:rsidRPr="0043289D" w:rsidRDefault="00B62EBA" w:rsidP="00B62EBA">
      <w:pPr>
        <w:jc w:val="both"/>
        <w:rPr>
          <w:rFonts w:eastAsia="Calibri" w:cs="Times New Roman"/>
        </w:rPr>
      </w:pPr>
    </w:p>
    <w:p w14:paraId="3FF34370" w14:textId="77777777" w:rsidR="00B62EBA" w:rsidRPr="0043289D" w:rsidRDefault="00B62EBA" w:rsidP="00B62EBA">
      <w:pPr>
        <w:tabs>
          <w:tab w:val="left" w:pos="4592"/>
          <w:tab w:val="center" w:pos="5269"/>
        </w:tabs>
        <w:autoSpaceDE w:val="0"/>
        <w:autoSpaceDN w:val="0"/>
        <w:adjustRightInd w:val="0"/>
        <w:jc w:val="center"/>
        <w:rPr>
          <w:rFonts w:eastAsia="Calibri" w:cs="Times New Roman"/>
          <w:b/>
          <w:bCs/>
        </w:rPr>
      </w:pPr>
      <w:r w:rsidRPr="008C2D04">
        <w:rPr>
          <w:noProof/>
          <w:lang w:eastAsia="es-MX"/>
        </w:rPr>
        <w:drawing>
          <wp:inline distT="0" distB="0" distL="0" distR="0" wp14:anchorId="69D0C6F7" wp14:editId="7EE8212F">
            <wp:extent cx="3729600" cy="958605"/>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600" cy="958605"/>
                    </a:xfrm>
                    <a:prstGeom prst="rect">
                      <a:avLst/>
                    </a:prstGeom>
                    <a:noFill/>
                    <a:ln>
                      <a:noFill/>
                    </a:ln>
                  </pic:spPr>
                </pic:pic>
              </a:graphicData>
            </a:graphic>
          </wp:inline>
        </w:drawing>
      </w:r>
    </w:p>
    <w:p w14:paraId="726EF687" w14:textId="77777777" w:rsidR="00B62EBA" w:rsidRPr="0043289D" w:rsidRDefault="00B62EBA" w:rsidP="00B62EBA">
      <w:pPr>
        <w:tabs>
          <w:tab w:val="left" w:pos="4592"/>
          <w:tab w:val="center" w:pos="5269"/>
        </w:tabs>
        <w:autoSpaceDE w:val="0"/>
        <w:autoSpaceDN w:val="0"/>
        <w:adjustRightInd w:val="0"/>
        <w:jc w:val="both"/>
        <w:rPr>
          <w:rFonts w:eastAsia="Calibri" w:cs="Times New Roman"/>
          <w:b/>
          <w:bCs/>
        </w:rPr>
      </w:pPr>
    </w:p>
    <w:p w14:paraId="25F486E4" w14:textId="77777777" w:rsidR="00B62EBA" w:rsidRPr="0043289D" w:rsidRDefault="00B62EBA" w:rsidP="00B62EBA">
      <w:pPr>
        <w:tabs>
          <w:tab w:val="left" w:pos="4592"/>
          <w:tab w:val="center" w:pos="5269"/>
        </w:tabs>
        <w:autoSpaceDE w:val="0"/>
        <w:autoSpaceDN w:val="0"/>
        <w:adjustRightInd w:val="0"/>
        <w:jc w:val="both"/>
        <w:rPr>
          <w:rFonts w:eastAsia="Calibri" w:cs="Times New Roman"/>
          <w:b/>
          <w:bCs/>
        </w:rPr>
      </w:pPr>
    </w:p>
    <w:p w14:paraId="30E79765" w14:textId="77777777" w:rsidR="00B62EBA" w:rsidRPr="0043289D" w:rsidRDefault="00B62EBA" w:rsidP="00B62EBA">
      <w:pPr>
        <w:jc w:val="both"/>
        <w:rPr>
          <w:rFonts w:eastAsia="Calibri" w:cs="Arial"/>
          <w:b/>
          <w:bCs/>
          <w:szCs w:val="20"/>
          <w:lang w:val="es-ES" w:eastAsia="es-ES"/>
        </w:rPr>
      </w:pPr>
      <w:bookmarkStart w:id="5" w:name="_Hlk125467269"/>
      <w:r w:rsidRPr="0043289D">
        <w:rPr>
          <w:rFonts w:eastAsia="Calibri" w:cs="Arial"/>
          <w:b/>
          <w:bCs/>
          <w:szCs w:val="20"/>
          <w:lang w:val="es-ES" w:eastAsia="es-ES"/>
        </w:rPr>
        <w:t>Pasivo</w:t>
      </w:r>
    </w:p>
    <w:p w14:paraId="3FA7CADE" w14:textId="77777777" w:rsidR="00B62EBA" w:rsidRPr="0043289D" w:rsidRDefault="00B62EBA" w:rsidP="00B62EBA">
      <w:pPr>
        <w:autoSpaceDE w:val="0"/>
        <w:autoSpaceDN w:val="0"/>
        <w:adjustRightInd w:val="0"/>
        <w:jc w:val="both"/>
        <w:rPr>
          <w:rFonts w:eastAsia="Calibri" w:cs="Arial"/>
          <w:b/>
          <w:bCs/>
          <w:szCs w:val="20"/>
        </w:rPr>
      </w:pPr>
    </w:p>
    <w:bookmarkEnd w:id="5"/>
    <w:p w14:paraId="231E83F0"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Es el conjunto de cuentas que permite el registro de las obligaciones contraídas para el desarrollo de sus funciones y la prestación de los servicios públicos. Al </w:t>
      </w:r>
      <w:r>
        <w:rPr>
          <w:rFonts w:eastAsia="Calibri" w:cs="Times New Roman"/>
        </w:rPr>
        <w:t>31 de marzo de 2024</w:t>
      </w:r>
      <w:r w:rsidRPr="0043289D">
        <w:rPr>
          <w:rFonts w:eastAsia="Calibri" w:cs="Times New Roman"/>
        </w:rPr>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19EB0795"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lastRenderedPageBreak/>
        <w:t>Circulante</w:t>
      </w:r>
    </w:p>
    <w:p w14:paraId="688EA363" w14:textId="77777777" w:rsidR="00B62EBA" w:rsidRPr="0043289D" w:rsidRDefault="00B62EBA" w:rsidP="00B62EBA">
      <w:pPr>
        <w:autoSpaceDE w:val="0"/>
        <w:autoSpaceDN w:val="0"/>
        <w:adjustRightInd w:val="0"/>
        <w:jc w:val="both"/>
        <w:rPr>
          <w:rFonts w:eastAsia="Calibri" w:cs="Arial"/>
          <w:b/>
          <w:bCs/>
          <w:szCs w:val="20"/>
        </w:rPr>
      </w:pPr>
    </w:p>
    <w:p w14:paraId="431EF903" w14:textId="45EDF563" w:rsidR="00B62EBA" w:rsidRPr="0043289D" w:rsidRDefault="00B62EBA" w:rsidP="00B62EBA">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022090F9" wp14:editId="0FB5D65E">
            <wp:extent cx="3729600" cy="3271190"/>
            <wp:effectExtent l="0" t="0" r="444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9600" cy="3271190"/>
                    </a:xfrm>
                    <a:prstGeom prst="rect">
                      <a:avLst/>
                    </a:prstGeom>
                    <a:noFill/>
                  </pic:spPr>
                </pic:pic>
              </a:graphicData>
            </a:graphic>
          </wp:inline>
        </w:drawing>
      </w:r>
    </w:p>
    <w:p w14:paraId="1643BF16" w14:textId="4DED9C74" w:rsidR="00B62EBA" w:rsidRDefault="00B62EBA" w:rsidP="00B62EBA">
      <w:pPr>
        <w:autoSpaceDE w:val="0"/>
        <w:autoSpaceDN w:val="0"/>
        <w:adjustRightInd w:val="0"/>
        <w:jc w:val="both"/>
        <w:rPr>
          <w:rFonts w:eastAsia="Calibri" w:cs="Times New Roman"/>
          <w:b/>
          <w:bCs/>
        </w:rPr>
      </w:pPr>
    </w:p>
    <w:p w14:paraId="2F97F2D8" w14:textId="77777777" w:rsidR="00B62EBA" w:rsidRPr="0043289D" w:rsidRDefault="00B62EBA" w:rsidP="00B62EBA">
      <w:pPr>
        <w:autoSpaceDE w:val="0"/>
        <w:autoSpaceDN w:val="0"/>
        <w:adjustRightInd w:val="0"/>
        <w:jc w:val="both"/>
        <w:rPr>
          <w:rFonts w:eastAsia="Calibri" w:cs="Times New Roman"/>
          <w:b/>
          <w:bCs/>
        </w:rPr>
      </w:pPr>
    </w:p>
    <w:p w14:paraId="40065E0C"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Cuentas por pagar a corto plazo</w:t>
      </w:r>
    </w:p>
    <w:p w14:paraId="4F52CEE5" w14:textId="77777777" w:rsidR="00B62EBA" w:rsidRPr="0043289D" w:rsidRDefault="00B62EBA" w:rsidP="00B62EBA">
      <w:pPr>
        <w:jc w:val="both"/>
        <w:outlineLvl w:val="0"/>
        <w:rPr>
          <w:rFonts w:eastAsia="Calibri" w:cs="Times New Roman"/>
          <w:b/>
          <w:bCs/>
          <w:i/>
        </w:rPr>
      </w:pPr>
    </w:p>
    <w:p w14:paraId="36D80D8B" w14:textId="77777777" w:rsidR="00B62EBA" w:rsidRPr="0043289D" w:rsidRDefault="00B62EBA" w:rsidP="00B62EBA">
      <w:pPr>
        <w:jc w:val="both"/>
        <w:rPr>
          <w:rFonts w:eastAsia="Calibri" w:cs="Times New Roman"/>
        </w:rPr>
      </w:pPr>
      <w:r w:rsidRPr="0043289D">
        <w:rPr>
          <w:rFonts w:eastAsia="Calibri" w:cs="Times New Roman"/>
        </w:rPr>
        <w:t xml:space="preserve">Al </w:t>
      </w:r>
      <w:r>
        <w:rPr>
          <w:rFonts w:eastAsia="Calibri" w:cs="Times New Roman"/>
        </w:rPr>
        <w:t>31 de marzo de 2024</w:t>
      </w:r>
      <w:r w:rsidRPr="0043289D">
        <w:rPr>
          <w:rFonts w:eastAsia="Calibri" w:cs="Times New Roman"/>
        </w:rPr>
        <w:t>, esta cuenta se integra por prestaciones salariales como: sueldos y salarios</w:t>
      </w:r>
      <w:r>
        <w:rPr>
          <w:rFonts w:eastAsia="Calibri" w:cs="Times New Roman"/>
        </w:rPr>
        <w:t xml:space="preserve">, prima quincenal, prima vacacional y dominical, </w:t>
      </w:r>
      <w:r w:rsidRPr="0043289D">
        <w:rPr>
          <w:rFonts w:eastAsia="Calibri" w:cs="Times New Roman"/>
        </w:rPr>
        <w:t>incentivos, estímulos</w:t>
      </w:r>
      <w:r>
        <w:rPr>
          <w:rFonts w:eastAsia="Calibri" w:cs="Times New Roman"/>
        </w:rPr>
        <w:t>,</w:t>
      </w:r>
      <w:r w:rsidRPr="007219A0">
        <w:t xml:space="preserve"> </w:t>
      </w:r>
      <w:r w:rsidRPr="007219A0">
        <w:rPr>
          <w:rFonts w:eastAsia="Calibri" w:cs="Times New Roman"/>
        </w:rPr>
        <w:t xml:space="preserve">previsión social </w:t>
      </w:r>
      <w:proofErr w:type="gramStart"/>
      <w:r w:rsidRPr="007219A0">
        <w:rPr>
          <w:rFonts w:eastAsia="Calibri" w:cs="Times New Roman"/>
        </w:rPr>
        <w:t>múltiple</w:t>
      </w:r>
      <w:r>
        <w:rPr>
          <w:rFonts w:eastAsia="Calibri" w:cs="Times New Roman"/>
        </w:rPr>
        <w:t xml:space="preserve"> </w:t>
      </w:r>
      <w:r w:rsidRPr="0043289D">
        <w:rPr>
          <w:rFonts w:eastAsia="Calibri" w:cs="Times New Roman"/>
        </w:rPr>
        <w:t xml:space="preserve"> y</w:t>
      </w:r>
      <w:proofErr w:type="gramEnd"/>
      <w:r w:rsidRPr="0043289D">
        <w:rPr>
          <w:rFonts w:eastAsia="Calibri" w:cs="Times New Roman"/>
        </w:rPr>
        <w:t xml:space="preserve"> aguinaldo devengado no pagado; así como, por las aportaciones patronales al IMSS, INFONAVIT y el 2 % del Impuesto Sobre Nóminas; además, se incluyen por los compromisos contraídos por la adquisición de bienes de consumo e inventariables, y por la contratación de servicios con proveedores.</w:t>
      </w:r>
    </w:p>
    <w:p w14:paraId="198C6BFC" w14:textId="77777777" w:rsidR="00B62EBA" w:rsidRPr="0043289D" w:rsidRDefault="00B62EBA" w:rsidP="00B62EBA">
      <w:pPr>
        <w:jc w:val="both"/>
        <w:rPr>
          <w:rFonts w:eastAsia="Calibri" w:cs="Times New Roman"/>
        </w:rPr>
      </w:pPr>
    </w:p>
    <w:p w14:paraId="3B1757E5" w14:textId="77777777" w:rsidR="00B62EBA" w:rsidRPr="0043289D" w:rsidRDefault="00B62EBA" w:rsidP="00B62EBA">
      <w:pPr>
        <w:jc w:val="both"/>
        <w:rPr>
          <w:rFonts w:eastAsia="Calibri" w:cs="Times New Roman"/>
        </w:rPr>
      </w:pPr>
      <w:r w:rsidRPr="0043289D">
        <w:rPr>
          <w:rFonts w:eastAsia="Calibri" w:cs="Times New Roman"/>
        </w:rPr>
        <w:t>Se incluyen dentro de este rubro</w:t>
      </w:r>
      <w:r>
        <w:rPr>
          <w:rFonts w:eastAsia="Calibri" w:cs="Times New Roman"/>
        </w:rPr>
        <w:t xml:space="preserve"> los subsidios para otras medidas económicas, para cubrir adeudos de servicios personales.</w:t>
      </w:r>
    </w:p>
    <w:p w14:paraId="0993D29F" w14:textId="77777777" w:rsidR="00B62EBA" w:rsidRPr="0043289D" w:rsidRDefault="00B62EBA" w:rsidP="00B62EBA">
      <w:pPr>
        <w:jc w:val="both"/>
        <w:rPr>
          <w:rFonts w:eastAsia="Calibri" w:cs="Times New Roman"/>
        </w:rPr>
      </w:pPr>
    </w:p>
    <w:p w14:paraId="0703DCDB" w14:textId="77777777" w:rsidR="00B62EBA" w:rsidRPr="0043289D" w:rsidRDefault="00B62EBA" w:rsidP="00B62EBA">
      <w:pPr>
        <w:jc w:val="both"/>
        <w:rPr>
          <w:rFonts w:eastAsia="Calibri" w:cs="Times New Roman"/>
        </w:rPr>
      </w:pPr>
      <w:r w:rsidRPr="0043289D">
        <w:rPr>
          <w:rFonts w:eastAsia="Calibri" w:cs="Times New Roman"/>
        </w:rPr>
        <w:t>También se registran las retenciones por servicios personales: ISSS, cuota IMSS, crédito INFONAVIT, retenciones y contribuciones a favor de terceros, 2 % del Impuesto Sobre Nóminas de prestadores de servic</w:t>
      </w:r>
      <w:r>
        <w:rPr>
          <w:rFonts w:eastAsia="Calibri" w:cs="Times New Roman"/>
        </w:rPr>
        <w:t xml:space="preserve">ios, 10 % del ISR por </w:t>
      </w:r>
      <w:r w:rsidRPr="0043289D">
        <w:rPr>
          <w:rFonts w:eastAsia="Calibri" w:cs="Times New Roman"/>
        </w:rPr>
        <w:t>arrendamiento de inmuebles, entre otros.</w:t>
      </w:r>
    </w:p>
    <w:p w14:paraId="3A3C6ECA" w14:textId="77777777" w:rsidR="00B62EBA" w:rsidRPr="0043289D" w:rsidRDefault="00B62EBA" w:rsidP="00B62EBA">
      <w:pPr>
        <w:jc w:val="both"/>
        <w:rPr>
          <w:rFonts w:eastAsia="Calibri" w:cs="Times New Roman"/>
        </w:rPr>
      </w:pPr>
    </w:p>
    <w:p w14:paraId="3B72FBD2" w14:textId="77777777" w:rsidR="00B62EBA" w:rsidRPr="0043289D" w:rsidRDefault="00B62EBA" w:rsidP="00B62EBA">
      <w:pPr>
        <w:jc w:val="both"/>
        <w:rPr>
          <w:rFonts w:eastAsia="Calibri" w:cs="Times New Roman"/>
        </w:rPr>
      </w:pPr>
      <w:r w:rsidRPr="0043289D">
        <w:rPr>
          <w:rFonts w:eastAsia="Calibri" w:cs="Times New Roman"/>
        </w:rPr>
        <w:t>Asimismo, dentro de este rubro se encuentran los rendimientos bancarios</w:t>
      </w:r>
      <w:r>
        <w:rPr>
          <w:rFonts w:eastAsia="Calibri" w:cs="Times New Roman"/>
        </w:rPr>
        <w:t>, los préstamos del fondo auxiliar</w:t>
      </w:r>
      <w:r w:rsidRPr="0043289D">
        <w:rPr>
          <w:rFonts w:eastAsia="Calibri" w:cs="Times New Roman"/>
        </w:rPr>
        <w:t xml:space="preserve"> y los reintegros de recursos. </w:t>
      </w:r>
    </w:p>
    <w:p w14:paraId="45338938" w14:textId="77777777" w:rsidR="00B62EBA" w:rsidRPr="0043289D" w:rsidRDefault="00B62EBA" w:rsidP="00B62EBA">
      <w:pPr>
        <w:jc w:val="both"/>
        <w:rPr>
          <w:rFonts w:eastAsia="Calibri" w:cs="Times New Roman"/>
        </w:rPr>
      </w:pPr>
    </w:p>
    <w:p w14:paraId="652412B1" w14:textId="77777777" w:rsidR="00B62EBA" w:rsidRPr="0043289D" w:rsidRDefault="00B62EBA" w:rsidP="00B62EBA">
      <w:pPr>
        <w:jc w:val="both"/>
        <w:rPr>
          <w:rFonts w:eastAsia="Calibri" w:cs="Times New Roman"/>
        </w:rPr>
      </w:pPr>
      <w:r>
        <w:rPr>
          <w:rFonts w:eastAsia="Calibri" w:cs="Times New Roman"/>
        </w:rPr>
        <w:t>Este rubro asciende a $ 36,202,584 pesos y representa el 83</w:t>
      </w:r>
      <w:r w:rsidRPr="0043289D">
        <w:rPr>
          <w:rFonts w:eastAsia="Calibri" w:cs="Times New Roman"/>
        </w:rPr>
        <w:t xml:space="preserve"> % respecto al pasivo circulante.</w:t>
      </w:r>
    </w:p>
    <w:p w14:paraId="33EDF8FA" w14:textId="77777777" w:rsidR="00B62EBA" w:rsidRPr="0043289D" w:rsidRDefault="00B62EBA" w:rsidP="00B62EBA">
      <w:pPr>
        <w:jc w:val="both"/>
        <w:rPr>
          <w:rFonts w:eastAsia="Calibri" w:cs="Times New Roman"/>
        </w:rPr>
      </w:pPr>
    </w:p>
    <w:p w14:paraId="4B755F25" w14:textId="77777777" w:rsidR="00B62EBA" w:rsidRDefault="00B62EBA" w:rsidP="00B62EBA">
      <w:pPr>
        <w:jc w:val="center"/>
        <w:rPr>
          <w:rFonts w:eastAsia="Calibri" w:cs="Times New Roman"/>
        </w:rPr>
      </w:pPr>
      <w:r w:rsidRPr="008C2D04">
        <w:rPr>
          <w:noProof/>
          <w:lang w:eastAsia="es-MX"/>
        </w:rPr>
        <w:lastRenderedPageBreak/>
        <w:drawing>
          <wp:inline distT="0" distB="0" distL="0" distR="0" wp14:anchorId="493F9A8F" wp14:editId="04E51690">
            <wp:extent cx="3729600" cy="2550561"/>
            <wp:effectExtent l="0" t="0" r="4445"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9600" cy="2550561"/>
                    </a:xfrm>
                    <a:prstGeom prst="rect">
                      <a:avLst/>
                    </a:prstGeom>
                    <a:noFill/>
                    <a:ln>
                      <a:noFill/>
                    </a:ln>
                  </pic:spPr>
                </pic:pic>
              </a:graphicData>
            </a:graphic>
          </wp:inline>
        </w:drawing>
      </w:r>
    </w:p>
    <w:p w14:paraId="70CFDD7D" w14:textId="77777777" w:rsidR="00B62EBA" w:rsidRDefault="00B62EBA" w:rsidP="00B62EBA">
      <w:pPr>
        <w:jc w:val="center"/>
        <w:rPr>
          <w:rFonts w:eastAsia="Calibri" w:cs="Times New Roman"/>
        </w:rPr>
      </w:pPr>
    </w:p>
    <w:p w14:paraId="7170F673" w14:textId="77777777" w:rsidR="00B62EBA" w:rsidRPr="0043289D" w:rsidRDefault="00B62EBA" w:rsidP="00B62EBA">
      <w:pPr>
        <w:jc w:val="center"/>
        <w:rPr>
          <w:rFonts w:eastAsia="Calibri" w:cs="Times New Roman"/>
        </w:rPr>
      </w:pPr>
    </w:p>
    <w:p w14:paraId="15AB854D"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 xml:space="preserve">Fondos y bienes de terceros en garantía y/o administración a corto plazo </w:t>
      </w:r>
    </w:p>
    <w:p w14:paraId="7025A79F" w14:textId="77777777" w:rsidR="00B62EBA" w:rsidRPr="0043289D" w:rsidRDefault="00B62EBA" w:rsidP="00B62EBA">
      <w:pPr>
        <w:jc w:val="both"/>
        <w:outlineLvl w:val="0"/>
        <w:rPr>
          <w:rFonts w:eastAsia="Calibri" w:cs="Times New Roman"/>
          <w:b/>
          <w:bCs/>
          <w:i/>
          <w:u w:val="single"/>
        </w:rPr>
      </w:pPr>
    </w:p>
    <w:p w14:paraId="6F9C77FE" w14:textId="77777777" w:rsidR="00B62EBA" w:rsidRPr="0043289D" w:rsidRDefault="00B62EBA" w:rsidP="00B62EBA">
      <w:pPr>
        <w:jc w:val="both"/>
        <w:outlineLvl w:val="0"/>
        <w:rPr>
          <w:rFonts w:eastAsia="Calibri" w:cs="Times New Roman"/>
          <w:bCs/>
        </w:rPr>
      </w:pPr>
      <w:r w:rsidRPr="0043289D">
        <w:rPr>
          <w:rFonts w:eastAsia="Calibri" w:cs="Times New Roman"/>
          <w:bCs/>
        </w:rPr>
        <w:t xml:space="preserve">Al </w:t>
      </w:r>
      <w:r>
        <w:rPr>
          <w:rFonts w:eastAsia="Calibri" w:cs="Times New Roman"/>
          <w:bCs/>
        </w:rPr>
        <w:t>31 de marzo de 2024</w:t>
      </w:r>
      <w:r w:rsidRPr="0043289D">
        <w:rPr>
          <w:rFonts w:eastAsia="Calibri" w:cs="Times New Roman"/>
          <w:bCs/>
        </w:rPr>
        <w:t>, est</w:t>
      </w:r>
      <w:r>
        <w:rPr>
          <w:rFonts w:eastAsia="Calibri" w:cs="Times New Roman"/>
          <w:bCs/>
        </w:rPr>
        <w:t xml:space="preserve">e rubro presenta un saldo de $ 1,867,279 </w:t>
      </w:r>
      <w:r w:rsidRPr="0043289D">
        <w:rPr>
          <w:rFonts w:eastAsia="Calibri" w:cs="Times New Roman"/>
          <w:bCs/>
        </w:rPr>
        <w:t xml:space="preserve">pesos </w:t>
      </w:r>
      <w:proofErr w:type="gramStart"/>
      <w:r w:rsidRPr="0043289D">
        <w:rPr>
          <w:rFonts w:eastAsia="Calibri" w:cs="Times New Roman"/>
          <w:bCs/>
        </w:rPr>
        <w:t>y  se</w:t>
      </w:r>
      <w:proofErr w:type="gramEnd"/>
      <w:r w:rsidRPr="0043289D">
        <w:rPr>
          <w:rFonts w:eastAsia="Calibri" w:cs="Times New Roman"/>
          <w:bCs/>
        </w:rPr>
        <w:t xml:space="preserve"> integra por</w:t>
      </w:r>
      <w:r>
        <w:rPr>
          <w:rFonts w:eastAsia="Calibri" w:cs="Times New Roman"/>
          <w:bCs/>
        </w:rPr>
        <w:t xml:space="preserve"> los depósitos en garantía derivado de juicios contenciosos, así como otras </w:t>
      </w:r>
      <w:r w:rsidRPr="0043289D">
        <w:rPr>
          <w:rFonts w:eastAsia="Calibri" w:cs="Times New Roman"/>
          <w:bCs/>
        </w:rPr>
        <w:t>o</w:t>
      </w:r>
      <w:r>
        <w:rPr>
          <w:rFonts w:eastAsia="Calibri" w:cs="Times New Roman"/>
          <w:bCs/>
        </w:rPr>
        <w:t>bligaciones con recursos ajenos.</w:t>
      </w:r>
    </w:p>
    <w:p w14:paraId="60B44794" w14:textId="77777777" w:rsidR="00B62EBA" w:rsidRPr="0043289D" w:rsidRDefault="00B62EBA" w:rsidP="00B62EBA">
      <w:pPr>
        <w:jc w:val="both"/>
        <w:outlineLvl w:val="0"/>
        <w:rPr>
          <w:rFonts w:eastAsia="Calibri" w:cs="Times New Roman"/>
          <w:bCs/>
        </w:rPr>
      </w:pPr>
    </w:p>
    <w:p w14:paraId="7F2ADFCA" w14:textId="77777777" w:rsidR="00B62EBA" w:rsidRPr="0043289D" w:rsidRDefault="00B62EBA" w:rsidP="00B62EBA">
      <w:pPr>
        <w:jc w:val="both"/>
        <w:outlineLvl w:val="0"/>
        <w:rPr>
          <w:rFonts w:eastAsia="Calibri" w:cs="Times New Roman"/>
          <w:bCs/>
        </w:rPr>
      </w:pPr>
      <w:r w:rsidRPr="0043289D">
        <w:rPr>
          <w:rFonts w:eastAsia="Calibri" w:cs="Times New Roman"/>
          <w:bCs/>
        </w:rPr>
        <w:t>Este rubr</w:t>
      </w:r>
      <w:r>
        <w:rPr>
          <w:rFonts w:eastAsia="Calibri" w:cs="Times New Roman"/>
          <w:bCs/>
        </w:rPr>
        <w:t>o representa el 4.3</w:t>
      </w:r>
      <w:r w:rsidRPr="0043289D">
        <w:rPr>
          <w:rFonts w:eastAsia="Calibri" w:cs="Times New Roman"/>
          <w:bCs/>
        </w:rPr>
        <w:t xml:space="preserve"> % respecto al total del pasivo circulante.</w:t>
      </w:r>
    </w:p>
    <w:p w14:paraId="2AD83F39" w14:textId="77777777" w:rsidR="00B62EBA" w:rsidRPr="0043289D" w:rsidRDefault="00B62EBA" w:rsidP="00B62EBA">
      <w:pPr>
        <w:jc w:val="both"/>
        <w:outlineLvl w:val="0"/>
        <w:rPr>
          <w:rFonts w:eastAsia="Calibri" w:cs="Times New Roman"/>
        </w:rPr>
      </w:pPr>
    </w:p>
    <w:p w14:paraId="44FE247B" w14:textId="77777777" w:rsidR="00B62EBA" w:rsidRPr="0043289D" w:rsidRDefault="00B62EBA" w:rsidP="00B62EBA">
      <w:pPr>
        <w:jc w:val="center"/>
        <w:rPr>
          <w:rFonts w:eastAsia="Calibri" w:cs="Times New Roman"/>
          <w:b/>
          <w:i/>
        </w:rPr>
      </w:pPr>
      <w:r w:rsidRPr="008C2D04">
        <w:rPr>
          <w:noProof/>
          <w:lang w:eastAsia="es-MX"/>
        </w:rPr>
        <w:drawing>
          <wp:inline distT="0" distB="0" distL="0" distR="0" wp14:anchorId="69D6770C" wp14:editId="39B8F37B">
            <wp:extent cx="3729600" cy="1231130"/>
            <wp:effectExtent l="0" t="0" r="4445"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9600" cy="1231130"/>
                    </a:xfrm>
                    <a:prstGeom prst="rect">
                      <a:avLst/>
                    </a:prstGeom>
                    <a:noFill/>
                    <a:ln>
                      <a:noFill/>
                    </a:ln>
                  </pic:spPr>
                </pic:pic>
              </a:graphicData>
            </a:graphic>
          </wp:inline>
        </w:drawing>
      </w:r>
    </w:p>
    <w:p w14:paraId="64CA540E" w14:textId="77777777" w:rsidR="00B62EBA" w:rsidRPr="0043289D" w:rsidRDefault="00B62EBA" w:rsidP="00B62EBA">
      <w:pPr>
        <w:jc w:val="both"/>
        <w:outlineLvl w:val="0"/>
        <w:rPr>
          <w:rFonts w:eastAsia="Calibri" w:cs="Times New Roman"/>
          <w:b/>
          <w:bCs/>
          <w:i/>
          <w:u w:val="single"/>
        </w:rPr>
      </w:pPr>
    </w:p>
    <w:p w14:paraId="410780F7" w14:textId="77777777" w:rsidR="00B62EBA" w:rsidRPr="0043289D" w:rsidRDefault="00B62EBA" w:rsidP="00B62EBA">
      <w:pPr>
        <w:jc w:val="both"/>
        <w:outlineLvl w:val="0"/>
        <w:rPr>
          <w:rFonts w:eastAsia="Calibri" w:cs="Times New Roman"/>
          <w:b/>
          <w:bCs/>
          <w:i/>
          <w:u w:val="single"/>
        </w:rPr>
      </w:pPr>
    </w:p>
    <w:p w14:paraId="57EB6270"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 xml:space="preserve">Provisiones a corto plazo </w:t>
      </w:r>
    </w:p>
    <w:p w14:paraId="7C2C534D" w14:textId="77777777" w:rsidR="00B62EBA" w:rsidRPr="0043289D" w:rsidRDefault="00B62EBA" w:rsidP="00B62EBA">
      <w:pPr>
        <w:jc w:val="both"/>
        <w:outlineLvl w:val="0"/>
        <w:rPr>
          <w:rFonts w:eastAsia="Calibri" w:cs="Times New Roman"/>
        </w:rPr>
      </w:pPr>
    </w:p>
    <w:p w14:paraId="4B84B166" w14:textId="77777777" w:rsidR="00B62EBA" w:rsidRPr="0043289D" w:rsidRDefault="00B62EBA" w:rsidP="00B62EBA">
      <w:pPr>
        <w:jc w:val="both"/>
        <w:outlineLvl w:val="0"/>
        <w:rPr>
          <w:rFonts w:eastAsia="Calibri" w:cs="Times New Roman"/>
        </w:rPr>
      </w:pPr>
      <w:r w:rsidRPr="0043289D">
        <w:rPr>
          <w:rFonts w:eastAsia="Calibri" w:cs="Times New Roman"/>
        </w:rPr>
        <w:t xml:space="preserve">Este rubro representa la provisión para demandas y juicios a corto plazo, para hacer frente a casos fortuitos, que resulten de la operatividad de los entes públicos que conforman el Poder Judicial. </w:t>
      </w:r>
    </w:p>
    <w:p w14:paraId="3C967CC8" w14:textId="77777777" w:rsidR="00B62EBA" w:rsidRPr="0043289D" w:rsidRDefault="00B62EBA" w:rsidP="00B62EBA">
      <w:pPr>
        <w:jc w:val="both"/>
        <w:outlineLvl w:val="0"/>
        <w:rPr>
          <w:rFonts w:eastAsia="Calibri" w:cs="Times New Roman"/>
        </w:rPr>
      </w:pPr>
    </w:p>
    <w:p w14:paraId="743DDF9E" w14:textId="77777777" w:rsidR="00B62EBA" w:rsidRPr="0043289D" w:rsidRDefault="00B62EBA" w:rsidP="00B62EBA">
      <w:pPr>
        <w:jc w:val="both"/>
        <w:outlineLvl w:val="0"/>
        <w:rPr>
          <w:rFonts w:eastAsia="Calibri" w:cs="Times New Roman"/>
        </w:rPr>
      </w:pPr>
      <w:r w:rsidRPr="0043289D">
        <w:rPr>
          <w:rFonts w:eastAsia="Calibri" w:cs="Times New Roman"/>
        </w:rPr>
        <w:t>A la fecha que se in</w:t>
      </w:r>
      <w:r>
        <w:rPr>
          <w:rFonts w:eastAsia="Calibri" w:cs="Times New Roman"/>
        </w:rPr>
        <w:t>forma este rubro representa el 12.4</w:t>
      </w:r>
      <w:r w:rsidRPr="0043289D">
        <w:rPr>
          <w:rFonts w:eastAsia="Calibri" w:cs="Times New Roman"/>
        </w:rPr>
        <w:t xml:space="preserve"> % respecto al total del pas</w:t>
      </w:r>
      <w:r>
        <w:rPr>
          <w:rFonts w:eastAsia="Calibri" w:cs="Times New Roman"/>
        </w:rPr>
        <w:t xml:space="preserve">ivo circulante, con un importe de $ 5,396,621 </w:t>
      </w:r>
      <w:r w:rsidRPr="0043289D">
        <w:rPr>
          <w:rFonts w:eastAsia="Calibri" w:cs="Times New Roman"/>
        </w:rPr>
        <w:t>pesos.</w:t>
      </w:r>
    </w:p>
    <w:p w14:paraId="04B89DDF" w14:textId="77777777" w:rsidR="00B62EBA" w:rsidRPr="0043289D" w:rsidRDefault="00B62EBA" w:rsidP="00B62EBA">
      <w:pPr>
        <w:jc w:val="both"/>
        <w:outlineLvl w:val="0"/>
        <w:rPr>
          <w:rFonts w:eastAsia="Calibri" w:cs="Times New Roman"/>
        </w:rPr>
      </w:pPr>
    </w:p>
    <w:p w14:paraId="398D3606" w14:textId="77777777" w:rsidR="00B62EBA" w:rsidRPr="0043289D" w:rsidRDefault="00B62EBA" w:rsidP="00B62EBA">
      <w:pPr>
        <w:jc w:val="center"/>
        <w:rPr>
          <w:rFonts w:eastAsia="Calibri" w:cs="Times New Roman"/>
          <w:b/>
          <w:i/>
        </w:rPr>
      </w:pPr>
      <w:r w:rsidRPr="008C2D04">
        <w:rPr>
          <w:noProof/>
          <w:lang w:eastAsia="es-MX"/>
        </w:rPr>
        <w:drawing>
          <wp:inline distT="0" distB="0" distL="0" distR="0" wp14:anchorId="54F88B4F" wp14:editId="50330CEA">
            <wp:extent cx="3729600" cy="1099632"/>
            <wp:effectExtent l="0" t="0" r="444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600" cy="1099632"/>
                    </a:xfrm>
                    <a:prstGeom prst="rect">
                      <a:avLst/>
                    </a:prstGeom>
                    <a:noFill/>
                    <a:ln>
                      <a:noFill/>
                    </a:ln>
                  </pic:spPr>
                </pic:pic>
              </a:graphicData>
            </a:graphic>
          </wp:inline>
        </w:drawing>
      </w:r>
    </w:p>
    <w:p w14:paraId="795E5EFD" w14:textId="77777777" w:rsidR="00B62EBA" w:rsidRPr="0043289D" w:rsidRDefault="00B62EBA" w:rsidP="00B62EBA">
      <w:pPr>
        <w:rPr>
          <w:rFonts w:eastAsia="Calibri" w:cs="Times New Roman"/>
          <w:b/>
          <w:i/>
        </w:rPr>
      </w:pPr>
    </w:p>
    <w:p w14:paraId="346F15CF" w14:textId="77777777" w:rsidR="00B62EBA" w:rsidRPr="0043289D" w:rsidRDefault="00B62EBA" w:rsidP="00B62EBA">
      <w:pPr>
        <w:jc w:val="both"/>
        <w:rPr>
          <w:rFonts w:eastAsia="Calibri" w:cs="Times New Roman"/>
          <w:b/>
          <w:i/>
        </w:rPr>
      </w:pPr>
    </w:p>
    <w:p w14:paraId="24A47075"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Otros pasivos a corto plazo</w:t>
      </w:r>
    </w:p>
    <w:p w14:paraId="537AEC34" w14:textId="77777777" w:rsidR="00B62EBA" w:rsidRPr="0043289D" w:rsidRDefault="00B62EBA" w:rsidP="00B62EBA">
      <w:pPr>
        <w:autoSpaceDE w:val="0"/>
        <w:autoSpaceDN w:val="0"/>
        <w:adjustRightInd w:val="0"/>
        <w:jc w:val="both"/>
        <w:rPr>
          <w:rFonts w:eastAsia="Calibri" w:cs="Times New Roman"/>
        </w:rPr>
      </w:pPr>
    </w:p>
    <w:p w14:paraId="2DC46D78"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Al </w:t>
      </w:r>
      <w:r>
        <w:rPr>
          <w:rFonts w:eastAsia="Calibri" w:cs="Times New Roman"/>
        </w:rPr>
        <w:t>31 de marzo de 2024</w:t>
      </w:r>
      <w:r w:rsidRPr="0043289D">
        <w:rPr>
          <w:rFonts w:eastAsia="Calibri" w:cs="Times New Roman"/>
        </w:rPr>
        <w:t>, este rubro</w:t>
      </w:r>
      <w:r>
        <w:rPr>
          <w:rFonts w:eastAsia="Calibri" w:cs="Times New Roman"/>
        </w:rPr>
        <w:t xml:space="preserve"> representa el 0.3 %</w:t>
      </w:r>
      <w:r w:rsidRPr="0043289D">
        <w:rPr>
          <w:rFonts w:eastAsia="Calibri" w:cs="Times New Roman"/>
        </w:rPr>
        <w:t xml:space="preserve"> del pasivo</w:t>
      </w:r>
      <w:r>
        <w:rPr>
          <w:rFonts w:eastAsia="Calibri" w:cs="Times New Roman"/>
        </w:rPr>
        <w:t xml:space="preserve"> circulante con un importe de $ 154,526 pesos y</w:t>
      </w:r>
      <w:r w:rsidRPr="0043289D">
        <w:rPr>
          <w:rFonts w:eastAsia="Calibri" w:cs="Times New Roman"/>
        </w:rPr>
        <w:t xml:space="preserve"> se integra por los ingresos por clasificar, así como, los abonos bancarios pendientes de aclarar.</w:t>
      </w:r>
    </w:p>
    <w:p w14:paraId="4DB5E01C" w14:textId="77777777" w:rsidR="00B62EBA" w:rsidRPr="00463A5D" w:rsidRDefault="00B62EBA" w:rsidP="00B62EBA">
      <w:pPr>
        <w:tabs>
          <w:tab w:val="left" w:pos="4537"/>
          <w:tab w:val="left" w:pos="4768"/>
          <w:tab w:val="left" w:pos="5244"/>
        </w:tabs>
        <w:autoSpaceDE w:val="0"/>
        <w:autoSpaceDN w:val="0"/>
        <w:adjustRightInd w:val="0"/>
        <w:jc w:val="center"/>
        <w:rPr>
          <w:rFonts w:eastAsia="Calibri" w:cs="Times New Roman"/>
        </w:rPr>
      </w:pPr>
      <w:r w:rsidRPr="008C2D04">
        <w:rPr>
          <w:noProof/>
          <w:lang w:eastAsia="es-MX"/>
        </w:rPr>
        <w:lastRenderedPageBreak/>
        <w:drawing>
          <wp:inline distT="0" distB="0" distL="0" distR="0" wp14:anchorId="0A7E95F8" wp14:editId="050D0EAD">
            <wp:extent cx="3729600" cy="1152358"/>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9600" cy="1152358"/>
                    </a:xfrm>
                    <a:prstGeom prst="rect">
                      <a:avLst/>
                    </a:prstGeom>
                    <a:noFill/>
                    <a:ln>
                      <a:noFill/>
                    </a:ln>
                  </pic:spPr>
                </pic:pic>
              </a:graphicData>
            </a:graphic>
          </wp:inline>
        </w:drawing>
      </w:r>
    </w:p>
    <w:p w14:paraId="556379B9" w14:textId="77777777" w:rsidR="00B62EBA" w:rsidRDefault="00B62EBA" w:rsidP="00B62EBA">
      <w:pPr>
        <w:rPr>
          <w:rFonts w:eastAsia="Calibri" w:cs="Arial"/>
          <w:b/>
          <w:bCs/>
          <w:szCs w:val="20"/>
          <w:lang w:val="es-ES" w:eastAsia="es-ES"/>
        </w:rPr>
      </w:pPr>
    </w:p>
    <w:p w14:paraId="64418918" w14:textId="77777777" w:rsidR="00B62EBA" w:rsidRPr="0043289D" w:rsidRDefault="00B62EBA" w:rsidP="00B62EBA">
      <w:pPr>
        <w:rPr>
          <w:rFonts w:eastAsia="Calibri" w:cs="Arial"/>
          <w:b/>
          <w:bCs/>
          <w:szCs w:val="20"/>
          <w:lang w:val="es-ES" w:eastAsia="es-ES"/>
        </w:rPr>
      </w:pPr>
    </w:p>
    <w:p w14:paraId="41354439"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No circulante</w:t>
      </w:r>
    </w:p>
    <w:p w14:paraId="338704C4" w14:textId="77777777" w:rsidR="00B62EBA" w:rsidRPr="0043289D" w:rsidRDefault="00B62EBA" w:rsidP="00B62EBA">
      <w:pPr>
        <w:autoSpaceDE w:val="0"/>
        <w:autoSpaceDN w:val="0"/>
        <w:adjustRightInd w:val="0"/>
        <w:jc w:val="both"/>
        <w:rPr>
          <w:rFonts w:eastAsia="Calibri" w:cs="Arial"/>
          <w:b/>
          <w:bCs/>
          <w:szCs w:val="20"/>
        </w:rPr>
      </w:pPr>
    </w:p>
    <w:p w14:paraId="5DCEA6AC" w14:textId="77777777" w:rsidR="00B62EBA" w:rsidRPr="0043289D" w:rsidRDefault="00B62EBA" w:rsidP="00B62EBA">
      <w:pPr>
        <w:autoSpaceDE w:val="0"/>
        <w:autoSpaceDN w:val="0"/>
        <w:adjustRightInd w:val="0"/>
        <w:jc w:val="center"/>
        <w:rPr>
          <w:rFonts w:eastAsia="Calibri" w:cs="Arial"/>
          <w:b/>
          <w:bCs/>
          <w:szCs w:val="20"/>
        </w:rPr>
      </w:pPr>
      <w:r w:rsidRPr="00463A5D">
        <w:rPr>
          <w:noProof/>
          <w:lang w:eastAsia="es-MX"/>
        </w:rPr>
        <w:drawing>
          <wp:inline distT="0" distB="0" distL="0" distR="0" wp14:anchorId="3FA2D683" wp14:editId="0D4500D8">
            <wp:extent cx="3729600" cy="3531766"/>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9600" cy="3531766"/>
                    </a:xfrm>
                    <a:prstGeom prst="rect">
                      <a:avLst/>
                    </a:prstGeom>
                    <a:noFill/>
                    <a:ln>
                      <a:noFill/>
                    </a:ln>
                  </pic:spPr>
                </pic:pic>
              </a:graphicData>
            </a:graphic>
          </wp:inline>
        </w:drawing>
      </w:r>
    </w:p>
    <w:p w14:paraId="5BDCFBA9" w14:textId="77777777" w:rsidR="00B62EBA" w:rsidRPr="0043289D" w:rsidRDefault="00B62EBA" w:rsidP="00B62EBA">
      <w:pPr>
        <w:autoSpaceDE w:val="0"/>
        <w:autoSpaceDN w:val="0"/>
        <w:adjustRightInd w:val="0"/>
        <w:jc w:val="both"/>
        <w:rPr>
          <w:rFonts w:eastAsia="Calibri" w:cs="Arial"/>
          <w:b/>
          <w:bCs/>
          <w:szCs w:val="20"/>
        </w:rPr>
      </w:pPr>
    </w:p>
    <w:p w14:paraId="47AF60CE" w14:textId="77777777" w:rsidR="00B62EBA" w:rsidRPr="0043289D" w:rsidRDefault="00B62EBA" w:rsidP="00B62EBA">
      <w:pPr>
        <w:autoSpaceDE w:val="0"/>
        <w:autoSpaceDN w:val="0"/>
        <w:adjustRightInd w:val="0"/>
        <w:jc w:val="both"/>
        <w:rPr>
          <w:rFonts w:eastAsia="Calibri" w:cs="Times New Roman"/>
        </w:rPr>
      </w:pPr>
    </w:p>
    <w:p w14:paraId="2E219395"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Cuentas por pagar a largo plazo</w:t>
      </w:r>
    </w:p>
    <w:p w14:paraId="59277F50" w14:textId="77777777" w:rsidR="00B62EBA" w:rsidRPr="0043289D" w:rsidRDefault="00B62EBA" w:rsidP="00B62EBA">
      <w:pPr>
        <w:jc w:val="both"/>
        <w:outlineLvl w:val="0"/>
        <w:rPr>
          <w:rFonts w:eastAsia="Calibri" w:cs="Times New Roman"/>
          <w:noProof/>
          <w:lang w:eastAsia="es-MX"/>
        </w:rPr>
      </w:pPr>
    </w:p>
    <w:p w14:paraId="5B4C0524" w14:textId="77777777" w:rsidR="00B62EBA" w:rsidRPr="0043289D" w:rsidRDefault="00B62EBA" w:rsidP="00B62EBA">
      <w:pPr>
        <w:jc w:val="both"/>
        <w:outlineLvl w:val="0"/>
        <w:rPr>
          <w:rFonts w:eastAsia="Calibri" w:cs="Times New Roman"/>
          <w:noProof/>
          <w:lang w:eastAsia="es-MX"/>
        </w:rPr>
      </w:pPr>
      <w:r w:rsidRPr="0043289D">
        <w:rPr>
          <w:rFonts w:eastAsia="Calibri" w:cs="Times New Roman"/>
          <w:noProof/>
          <w:lang w:eastAsia="es-MX"/>
        </w:rPr>
        <w:t xml:space="preserve">Al </w:t>
      </w:r>
      <w:r>
        <w:rPr>
          <w:rFonts w:eastAsia="Calibri" w:cs="Times New Roman"/>
          <w:noProof/>
          <w:lang w:eastAsia="es-MX"/>
        </w:rPr>
        <w:t>31 de marzo de 2024</w:t>
      </w:r>
      <w:r w:rsidRPr="0043289D">
        <w:rPr>
          <w:rFonts w:eastAsia="Calibri" w:cs="Times New Roman"/>
          <w:noProof/>
          <w:lang w:eastAsia="es-MX"/>
        </w:rPr>
        <w:t>, este rubro del pasivo no circulante, refleja el registro de los compromisos contraidos a largo plazo, por la adquisición de bienes de consumo e inventariables con proveedores.</w:t>
      </w:r>
    </w:p>
    <w:p w14:paraId="0E6E1132" w14:textId="77777777" w:rsidR="00B62EBA" w:rsidRPr="0043289D" w:rsidRDefault="00B62EBA" w:rsidP="00B62EBA">
      <w:pPr>
        <w:jc w:val="both"/>
        <w:outlineLvl w:val="0"/>
        <w:rPr>
          <w:rFonts w:eastAsia="Calibri" w:cs="Times New Roman"/>
          <w:noProof/>
          <w:lang w:eastAsia="es-MX"/>
        </w:rPr>
      </w:pPr>
    </w:p>
    <w:p w14:paraId="2F9659D9"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A la fecha que se in</w:t>
      </w:r>
      <w:r>
        <w:rPr>
          <w:rFonts w:eastAsia="Calibri" w:cs="Times New Roman"/>
        </w:rPr>
        <w:t>forma este rubro representa el 14.4</w:t>
      </w:r>
      <w:r w:rsidRPr="0043289D">
        <w:rPr>
          <w:rFonts w:eastAsia="Calibri" w:cs="Times New Roman"/>
        </w:rPr>
        <w:t xml:space="preserve"> % respecto al total del pasivo no </w:t>
      </w:r>
      <w:r>
        <w:rPr>
          <w:rFonts w:eastAsia="Calibri" w:cs="Times New Roman"/>
        </w:rPr>
        <w:t xml:space="preserve">circulante, con un importe de $ 13,042,788 </w:t>
      </w:r>
      <w:r w:rsidRPr="0043289D">
        <w:rPr>
          <w:rFonts w:eastAsia="Calibri" w:cs="Times New Roman"/>
        </w:rPr>
        <w:t>pesos.</w:t>
      </w:r>
    </w:p>
    <w:p w14:paraId="36019387" w14:textId="77777777" w:rsidR="00B62EBA" w:rsidRPr="0043289D" w:rsidRDefault="00B62EBA" w:rsidP="00B62EBA">
      <w:pPr>
        <w:autoSpaceDE w:val="0"/>
        <w:autoSpaceDN w:val="0"/>
        <w:adjustRightInd w:val="0"/>
        <w:jc w:val="both"/>
        <w:rPr>
          <w:rFonts w:eastAsia="Calibri" w:cs="Times New Roman"/>
        </w:rPr>
      </w:pPr>
    </w:p>
    <w:p w14:paraId="758576A2" w14:textId="77777777" w:rsidR="00B62EBA" w:rsidRPr="0043289D" w:rsidRDefault="00B62EBA" w:rsidP="00B62EBA">
      <w:pPr>
        <w:jc w:val="center"/>
        <w:outlineLvl w:val="0"/>
        <w:rPr>
          <w:rFonts w:eastAsia="Calibri" w:cs="Times New Roman"/>
          <w:noProof/>
          <w:lang w:eastAsia="es-MX"/>
        </w:rPr>
      </w:pPr>
      <w:r w:rsidRPr="00F8527A">
        <w:rPr>
          <w:noProof/>
          <w:lang w:eastAsia="es-MX"/>
        </w:rPr>
        <w:drawing>
          <wp:inline distT="0" distB="0" distL="0" distR="0" wp14:anchorId="21F297E7" wp14:editId="72BA2F2A">
            <wp:extent cx="3728085" cy="1099185"/>
            <wp:effectExtent l="0" t="0" r="5715"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8085" cy="1099185"/>
                    </a:xfrm>
                    <a:prstGeom prst="rect">
                      <a:avLst/>
                    </a:prstGeom>
                    <a:noFill/>
                    <a:ln>
                      <a:noFill/>
                    </a:ln>
                  </pic:spPr>
                </pic:pic>
              </a:graphicData>
            </a:graphic>
          </wp:inline>
        </w:drawing>
      </w:r>
    </w:p>
    <w:p w14:paraId="1C2527D4" w14:textId="77777777" w:rsidR="00B62EBA" w:rsidRDefault="00B62EBA" w:rsidP="00B62EBA">
      <w:pPr>
        <w:jc w:val="both"/>
        <w:outlineLvl w:val="0"/>
        <w:rPr>
          <w:rFonts w:eastAsia="Calibri" w:cs="Times New Roman"/>
          <w:b/>
          <w:bCs/>
          <w:i/>
          <w:iCs/>
        </w:rPr>
      </w:pPr>
    </w:p>
    <w:p w14:paraId="5875B6F9" w14:textId="2B3E226E" w:rsidR="00B62EBA" w:rsidRDefault="00B62EBA" w:rsidP="00B62EBA">
      <w:pPr>
        <w:jc w:val="both"/>
        <w:outlineLvl w:val="0"/>
        <w:rPr>
          <w:rFonts w:eastAsia="Calibri" w:cs="Times New Roman"/>
          <w:b/>
          <w:bCs/>
          <w:i/>
          <w:iCs/>
        </w:rPr>
      </w:pPr>
    </w:p>
    <w:p w14:paraId="09BBA623" w14:textId="7EE14DD3" w:rsidR="00B62EBA" w:rsidRDefault="00B62EBA" w:rsidP="00B62EBA">
      <w:pPr>
        <w:jc w:val="both"/>
        <w:outlineLvl w:val="0"/>
        <w:rPr>
          <w:rFonts w:eastAsia="Calibri" w:cs="Times New Roman"/>
          <w:b/>
          <w:bCs/>
          <w:i/>
          <w:iCs/>
        </w:rPr>
      </w:pPr>
    </w:p>
    <w:p w14:paraId="247391F0" w14:textId="00B26874" w:rsidR="00B62EBA" w:rsidRDefault="00B62EBA" w:rsidP="00B62EBA">
      <w:pPr>
        <w:jc w:val="both"/>
        <w:outlineLvl w:val="0"/>
        <w:rPr>
          <w:rFonts w:eastAsia="Calibri" w:cs="Times New Roman"/>
          <w:b/>
          <w:bCs/>
          <w:i/>
          <w:iCs/>
        </w:rPr>
      </w:pPr>
    </w:p>
    <w:p w14:paraId="575DC976" w14:textId="77777777" w:rsidR="00B62EBA" w:rsidRPr="0043289D" w:rsidRDefault="00B62EBA" w:rsidP="00B62EBA">
      <w:pPr>
        <w:jc w:val="both"/>
        <w:outlineLvl w:val="0"/>
        <w:rPr>
          <w:rFonts w:eastAsia="Calibri" w:cs="Times New Roman"/>
          <w:b/>
          <w:bCs/>
          <w:i/>
          <w:iCs/>
        </w:rPr>
      </w:pPr>
    </w:p>
    <w:p w14:paraId="36F948D2"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lastRenderedPageBreak/>
        <w:t>Pasivos diferidos a largo plazo</w:t>
      </w:r>
    </w:p>
    <w:p w14:paraId="146B7C61" w14:textId="77777777" w:rsidR="00B62EBA" w:rsidRPr="0043289D" w:rsidRDefault="00B62EBA" w:rsidP="00B62EBA">
      <w:pPr>
        <w:jc w:val="both"/>
        <w:outlineLvl w:val="0"/>
        <w:rPr>
          <w:rFonts w:eastAsia="Calibri" w:cs="Times New Roman"/>
          <w:b/>
          <w:bCs/>
          <w:i/>
          <w:iCs/>
        </w:rPr>
      </w:pPr>
    </w:p>
    <w:p w14:paraId="7A8F51C7"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Este rubro del pasivo no circulante se integra por el registro de prestaciones salariales del personal del Poder Judicial como son: sueldos y salarios, aguinaldo devengado no pagado, asimismo, por las aportaciones patronales al</w:t>
      </w:r>
      <w:r>
        <w:rPr>
          <w:rFonts w:eastAsia="Calibri" w:cs="Times New Roman"/>
        </w:rPr>
        <w:t xml:space="preserve"> </w:t>
      </w:r>
      <w:r w:rsidRPr="0043289D">
        <w:rPr>
          <w:rFonts w:eastAsia="Calibri" w:cs="Times New Roman"/>
        </w:rPr>
        <w:t>IMSS</w:t>
      </w:r>
      <w:r>
        <w:rPr>
          <w:rFonts w:eastAsia="Calibri" w:cs="Times New Roman"/>
        </w:rPr>
        <w:t xml:space="preserve"> e INFONAVIT</w:t>
      </w:r>
      <w:r w:rsidRPr="0043289D">
        <w:rPr>
          <w:rFonts w:eastAsia="Calibri" w:cs="Times New Roman"/>
        </w:rPr>
        <w:t>, y el 2 % del Impuesto Sobre Nóminas.</w:t>
      </w:r>
    </w:p>
    <w:p w14:paraId="67413680" w14:textId="77777777" w:rsidR="00B62EBA" w:rsidRPr="0043289D" w:rsidRDefault="00B62EBA" w:rsidP="00B62EBA">
      <w:pPr>
        <w:jc w:val="both"/>
        <w:outlineLvl w:val="0"/>
        <w:rPr>
          <w:rFonts w:eastAsia="Calibri" w:cs="Times New Roman"/>
        </w:rPr>
      </w:pPr>
    </w:p>
    <w:p w14:paraId="4BD4CC67" w14:textId="77777777" w:rsidR="00B62EBA" w:rsidRDefault="00B62EBA" w:rsidP="00B62EBA">
      <w:pPr>
        <w:autoSpaceDE w:val="0"/>
        <w:autoSpaceDN w:val="0"/>
        <w:adjustRightInd w:val="0"/>
        <w:jc w:val="both"/>
        <w:rPr>
          <w:rFonts w:eastAsia="Calibri" w:cs="Times New Roman"/>
        </w:rPr>
      </w:pPr>
      <w:r w:rsidRPr="0043289D">
        <w:rPr>
          <w:rFonts w:eastAsia="Calibri" w:cs="Times New Roman"/>
        </w:rPr>
        <w:t>Se incluyen en este rubro, el registro de las retenciones por servicios personales: ISSS, créd</w:t>
      </w:r>
      <w:r>
        <w:rPr>
          <w:rFonts w:eastAsia="Calibri" w:cs="Times New Roman"/>
        </w:rPr>
        <w:t>ito INFONAVIT, disciplinarios</w:t>
      </w:r>
      <w:r w:rsidRPr="0043289D">
        <w:rPr>
          <w:rFonts w:eastAsia="Calibri" w:cs="Times New Roman"/>
        </w:rPr>
        <w:t xml:space="preserve">, </w:t>
      </w:r>
      <w:r w:rsidRPr="00FF6B58">
        <w:rPr>
          <w:rFonts w:eastAsia="Calibri" w:cs="Times New Roman"/>
        </w:rPr>
        <w:t>2 % del Impuesto Sobre Nóminas</w:t>
      </w:r>
      <w:r>
        <w:rPr>
          <w:rFonts w:eastAsia="Calibri" w:cs="Times New Roman"/>
        </w:rPr>
        <w:t>,</w:t>
      </w:r>
      <w:r w:rsidRPr="00FF6B58">
        <w:rPr>
          <w:rFonts w:eastAsia="Calibri" w:cs="Times New Roman"/>
        </w:rPr>
        <w:t xml:space="preserve"> </w:t>
      </w:r>
      <w:r w:rsidRPr="0043289D">
        <w:rPr>
          <w:rFonts w:eastAsia="Calibri" w:cs="Times New Roman"/>
        </w:rPr>
        <w:t>inasistencia, aportaciones al fondo de ahorro, recuperación de préstamos personales, préstamos con instituciones financieras, pensión alimenticia; además, de las retenciones y contribuciones a favor de terceros, como, el Impuesto Sobre la Renta, así también el 10 % del ISR por honorarios</w:t>
      </w:r>
      <w:r>
        <w:rPr>
          <w:rFonts w:eastAsia="Calibri" w:cs="Times New Roman"/>
        </w:rPr>
        <w:t xml:space="preserve"> y/o arrendamiento de inmuebles,</w:t>
      </w:r>
      <w:r w:rsidRPr="00FF6B58">
        <w:t xml:space="preserve"> </w:t>
      </w:r>
      <w:r>
        <w:rPr>
          <w:rFonts w:eastAsia="Calibri" w:cs="Times New Roman"/>
        </w:rPr>
        <w:t>a</w:t>
      </w:r>
      <w:r w:rsidRPr="00FF6B58">
        <w:rPr>
          <w:rFonts w:eastAsia="Calibri" w:cs="Times New Roman"/>
        </w:rPr>
        <w:t>sí como,</w:t>
      </w:r>
      <w:r>
        <w:rPr>
          <w:rFonts w:eastAsia="Calibri" w:cs="Times New Roman"/>
        </w:rPr>
        <w:t xml:space="preserve"> las sanciones a contratistas</w:t>
      </w:r>
      <w:r w:rsidRPr="00FF6B58">
        <w:rPr>
          <w:rFonts w:eastAsia="Calibri" w:cs="Times New Roman"/>
        </w:rPr>
        <w:t>.</w:t>
      </w:r>
    </w:p>
    <w:p w14:paraId="3DB26795" w14:textId="77777777" w:rsidR="00B62EBA" w:rsidRPr="0043289D" w:rsidRDefault="00B62EBA" w:rsidP="00B62EBA">
      <w:pPr>
        <w:autoSpaceDE w:val="0"/>
        <w:autoSpaceDN w:val="0"/>
        <w:adjustRightInd w:val="0"/>
        <w:jc w:val="both"/>
        <w:rPr>
          <w:rFonts w:eastAsia="Calibri" w:cs="Times New Roman"/>
        </w:rPr>
      </w:pPr>
    </w:p>
    <w:p w14:paraId="003C82A5" w14:textId="77777777" w:rsidR="00B62EBA" w:rsidRDefault="00B62EBA" w:rsidP="00B62EBA">
      <w:pPr>
        <w:autoSpaceDE w:val="0"/>
        <w:autoSpaceDN w:val="0"/>
        <w:adjustRightInd w:val="0"/>
        <w:jc w:val="both"/>
        <w:rPr>
          <w:rFonts w:eastAsia="Calibri" w:cs="Times New Roman"/>
        </w:rPr>
      </w:pPr>
      <w:r w:rsidRPr="00915426">
        <w:rPr>
          <w:rFonts w:eastAsia="Calibri" w:cs="Times New Roman"/>
        </w:rPr>
        <w:t>Se incluyen dentro de este rubro</w:t>
      </w:r>
      <w:r>
        <w:rPr>
          <w:rFonts w:eastAsia="Calibri" w:cs="Times New Roman"/>
        </w:rPr>
        <w:t xml:space="preserve"> </w:t>
      </w:r>
      <w:r w:rsidRPr="00B65DD1">
        <w:rPr>
          <w:rFonts w:eastAsia="Calibri" w:cs="Times New Roman"/>
        </w:rPr>
        <w:t>las asignaciones presupuestarias por concepto de constancias de antecedentes no penales</w:t>
      </w:r>
      <w:r>
        <w:rPr>
          <w:rFonts w:eastAsia="Calibri" w:cs="Times New Roman"/>
        </w:rPr>
        <w:t xml:space="preserve"> y</w:t>
      </w:r>
      <w:r w:rsidRPr="00915426">
        <w:rPr>
          <w:rFonts w:eastAsia="Calibri" w:cs="Times New Roman"/>
        </w:rPr>
        <w:t xml:space="preserve"> los subsidios para otras medidas económicas, para cubrir </w:t>
      </w:r>
      <w:r>
        <w:rPr>
          <w:rFonts w:eastAsia="Calibri" w:cs="Times New Roman"/>
        </w:rPr>
        <w:t>adeudos de servicios personales.</w:t>
      </w:r>
    </w:p>
    <w:p w14:paraId="2C6C9A4E" w14:textId="77777777" w:rsidR="00B62EBA" w:rsidRPr="0043289D" w:rsidRDefault="00B62EBA" w:rsidP="00B62EBA">
      <w:pPr>
        <w:autoSpaceDE w:val="0"/>
        <w:autoSpaceDN w:val="0"/>
        <w:adjustRightInd w:val="0"/>
        <w:jc w:val="both"/>
        <w:rPr>
          <w:rFonts w:eastAsia="Calibri" w:cs="Times New Roman"/>
        </w:rPr>
      </w:pPr>
    </w:p>
    <w:p w14:paraId="5D687C2D" w14:textId="77777777" w:rsidR="00B62EBA" w:rsidRDefault="00B62EBA" w:rsidP="00B62EBA">
      <w:pPr>
        <w:autoSpaceDE w:val="0"/>
        <w:autoSpaceDN w:val="0"/>
        <w:adjustRightInd w:val="0"/>
        <w:jc w:val="both"/>
        <w:rPr>
          <w:rFonts w:eastAsia="Calibri" w:cs="Times New Roman"/>
        </w:rPr>
      </w:pPr>
      <w:r w:rsidRPr="0043289D">
        <w:rPr>
          <w:rFonts w:eastAsia="Calibri" w:cs="Times New Roman"/>
        </w:rPr>
        <w:t>También forman parte los reintegros de recursos y las sanciones por incumplimiento de contrato.</w:t>
      </w:r>
    </w:p>
    <w:p w14:paraId="0C70AA69" w14:textId="77777777" w:rsidR="00B62EBA" w:rsidRPr="0043289D" w:rsidRDefault="00B62EBA" w:rsidP="00B62EBA">
      <w:pPr>
        <w:autoSpaceDE w:val="0"/>
        <w:autoSpaceDN w:val="0"/>
        <w:adjustRightInd w:val="0"/>
        <w:jc w:val="both"/>
        <w:rPr>
          <w:rFonts w:eastAsia="Calibri" w:cs="Times New Roman"/>
        </w:rPr>
      </w:pPr>
    </w:p>
    <w:p w14:paraId="59462C60" w14:textId="77777777" w:rsidR="00B62EBA" w:rsidRPr="0043289D" w:rsidRDefault="00B62EBA" w:rsidP="00B62EBA">
      <w:pPr>
        <w:jc w:val="both"/>
        <w:outlineLvl w:val="0"/>
        <w:rPr>
          <w:rFonts w:eastAsia="Calibri" w:cs="Times New Roman"/>
        </w:rPr>
      </w:pPr>
      <w:r w:rsidRPr="0043289D">
        <w:rPr>
          <w:rFonts w:eastAsia="Calibri" w:cs="Times New Roman"/>
        </w:rPr>
        <w:t>Además, por las retenciones efectuadas a los contratistas por obra pública, por los siguientes conceptos:</w:t>
      </w:r>
    </w:p>
    <w:p w14:paraId="74213B7C" w14:textId="77777777" w:rsidR="00B62EBA" w:rsidRPr="0043289D" w:rsidRDefault="00B62EBA" w:rsidP="00B62EBA">
      <w:pPr>
        <w:jc w:val="both"/>
        <w:outlineLvl w:val="0"/>
        <w:rPr>
          <w:rFonts w:eastAsia="Calibri" w:cs="Times New Roman"/>
        </w:rPr>
      </w:pPr>
    </w:p>
    <w:p w14:paraId="39F3F15E" w14:textId="77777777" w:rsidR="00B62EBA" w:rsidRPr="0043289D" w:rsidRDefault="00B62EBA" w:rsidP="00B62EBA">
      <w:pPr>
        <w:numPr>
          <w:ilvl w:val="0"/>
          <w:numId w:val="24"/>
        </w:numPr>
        <w:spacing w:after="120"/>
        <w:ind w:left="357" w:hanging="357"/>
        <w:jc w:val="both"/>
        <w:rPr>
          <w:rFonts w:eastAsia="Calibri" w:cs="Times New Roman"/>
        </w:rPr>
      </w:pPr>
      <w:r w:rsidRPr="0043289D">
        <w:rPr>
          <w:rFonts w:eastAsia="Calibri" w:cs="Times New Roman"/>
        </w:rPr>
        <w:t>1 % de Aportación al Estado para Obras de Beneficio Social.</w:t>
      </w:r>
    </w:p>
    <w:p w14:paraId="5E7F7D96" w14:textId="77777777" w:rsidR="00B62EBA" w:rsidRPr="0043289D" w:rsidRDefault="00B62EBA" w:rsidP="00B62EBA">
      <w:pPr>
        <w:numPr>
          <w:ilvl w:val="0"/>
          <w:numId w:val="24"/>
        </w:numPr>
        <w:spacing w:after="120"/>
        <w:ind w:left="357" w:hanging="357"/>
        <w:jc w:val="both"/>
        <w:rPr>
          <w:rFonts w:eastAsia="Calibri" w:cs="Times New Roman"/>
        </w:rPr>
      </w:pPr>
      <w:r w:rsidRPr="0043289D">
        <w:rPr>
          <w:rFonts w:eastAsia="Calibri" w:cs="Times New Roman"/>
        </w:rPr>
        <w:t>5 al millar de Inspección y Vigilancia.</w:t>
      </w:r>
    </w:p>
    <w:p w14:paraId="5C01C68C" w14:textId="77777777" w:rsidR="00B62EBA" w:rsidRPr="0043289D" w:rsidRDefault="00B62EBA" w:rsidP="00B62EBA">
      <w:pPr>
        <w:jc w:val="both"/>
        <w:rPr>
          <w:rFonts w:eastAsia="Calibri" w:cs="Times New Roman"/>
        </w:rPr>
      </w:pPr>
    </w:p>
    <w:p w14:paraId="4B2AC7A5" w14:textId="77777777" w:rsidR="00B62EBA" w:rsidRPr="0043289D" w:rsidRDefault="00B62EBA" w:rsidP="00B62EBA">
      <w:pPr>
        <w:jc w:val="both"/>
        <w:rPr>
          <w:rFonts w:eastAsia="Calibri" w:cs="Times New Roman"/>
        </w:rPr>
      </w:pPr>
      <w:r w:rsidRPr="0043289D">
        <w:rPr>
          <w:rFonts w:eastAsia="Calibri" w:cs="Times New Roman"/>
        </w:rPr>
        <w:t>Por otra parte, dentro este rubro se encuentra l</w:t>
      </w:r>
      <w:r>
        <w:rPr>
          <w:rFonts w:eastAsia="Calibri" w:cs="Times New Roman"/>
        </w:rPr>
        <w:t>os préstamos del fondo auxiliar</w:t>
      </w:r>
      <w:r w:rsidRPr="0043289D">
        <w:rPr>
          <w:rFonts w:eastAsia="Calibri" w:cs="Times New Roman"/>
        </w:rPr>
        <w:t xml:space="preserve">, los rendimientos </w:t>
      </w:r>
      <w:r>
        <w:rPr>
          <w:rFonts w:eastAsia="Calibri" w:cs="Times New Roman"/>
        </w:rPr>
        <w:t>bancarios, los reintegros de recursos, los cheques cancelados,</w:t>
      </w:r>
      <w:r w:rsidRPr="0043289D">
        <w:rPr>
          <w:rFonts w:eastAsia="Calibri" w:cs="Times New Roman"/>
        </w:rPr>
        <w:t xml:space="preserve"> los cheques en circulación no cobrados en oportunidad</w:t>
      </w:r>
      <w:r>
        <w:rPr>
          <w:rFonts w:eastAsia="Calibri" w:cs="Times New Roman"/>
        </w:rPr>
        <w:t xml:space="preserve"> y los abonos bancarios por aclarar</w:t>
      </w:r>
      <w:r w:rsidRPr="0043289D">
        <w:rPr>
          <w:rFonts w:eastAsia="Calibri" w:cs="Times New Roman"/>
        </w:rPr>
        <w:t>.</w:t>
      </w:r>
    </w:p>
    <w:p w14:paraId="4339D62A" w14:textId="77777777" w:rsidR="00B62EBA" w:rsidRPr="0043289D" w:rsidRDefault="00B62EBA" w:rsidP="00B62EBA">
      <w:pPr>
        <w:jc w:val="both"/>
        <w:rPr>
          <w:rFonts w:eastAsia="Calibri" w:cs="Times New Roman"/>
        </w:rPr>
      </w:pPr>
    </w:p>
    <w:p w14:paraId="1CD9DF34" w14:textId="77777777" w:rsidR="00B62EBA" w:rsidRPr="0043289D" w:rsidRDefault="00B62EBA" w:rsidP="00B62EBA">
      <w:pPr>
        <w:jc w:val="both"/>
        <w:outlineLvl w:val="0"/>
        <w:rPr>
          <w:rFonts w:eastAsia="Calibri" w:cs="Times New Roman"/>
        </w:rPr>
      </w:pPr>
      <w:r w:rsidRPr="0043289D">
        <w:rPr>
          <w:rFonts w:eastAsia="Calibri" w:cs="Times New Roman"/>
        </w:rPr>
        <w:t xml:space="preserve">El saldo de este rubro al </w:t>
      </w:r>
      <w:r>
        <w:rPr>
          <w:rFonts w:eastAsia="Calibri" w:cs="Times New Roman"/>
        </w:rPr>
        <w:t>31 de marzo de 2024</w:t>
      </w:r>
      <w:r w:rsidRPr="0043289D">
        <w:rPr>
          <w:rFonts w:eastAsia="Calibri" w:cs="Times New Roman"/>
        </w:rPr>
        <w:t>, ascendió</w:t>
      </w:r>
      <w:r>
        <w:rPr>
          <w:rFonts w:eastAsia="Calibri" w:cs="Times New Roman"/>
        </w:rPr>
        <w:t xml:space="preserve"> a $ 51,158,963 pesos, y representa el 56.3</w:t>
      </w:r>
      <w:r w:rsidRPr="0043289D">
        <w:rPr>
          <w:rFonts w:eastAsia="Calibri" w:cs="Times New Roman"/>
        </w:rPr>
        <w:t xml:space="preserve"> % del total del pasivo no circulante.</w:t>
      </w:r>
    </w:p>
    <w:p w14:paraId="6D548E7A" w14:textId="77777777" w:rsidR="00B62EBA" w:rsidRPr="0043289D" w:rsidRDefault="00B62EBA" w:rsidP="00B62EBA">
      <w:pPr>
        <w:jc w:val="both"/>
        <w:outlineLvl w:val="0"/>
        <w:rPr>
          <w:rFonts w:eastAsia="Calibri" w:cs="Times New Roman"/>
        </w:rPr>
      </w:pPr>
    </w:p>
    <w:p w14:paraId="5FEACE30" w14:textId="77777777" w:rsidR="00B62EBA" w:rsidRPr="0043289D" w:rsidRDefault="00B62EBA" w:rsidP="00B62EBA">
      <w:pPr>
        <w:jc w:val="center"/>
        <w:outlineLvl w:val="0"/>
        <w:rPr>
          <w:rFonts w:eastAsia="Calibri" w:cs="Times New Roman"/>
        </w:rPr>
      </w:pPr>
      <w:r w:rsidRPr="00F8527A">
        <w:rPr>
          <w:noProof/>
          <w:lang w:eastAsia="es-MX"/>
        </w:rPr>
        <w:drawing>
          <wp:inline distT="0" distB="0" distL="0" distR="0" wp14:anchorId="6BB04B93" wp14:editId="65504734">
            <wp:extent cx="3728085" cy="1099185"/>
            <wp:effectExtent l="0" t="0" r="571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8085" cy="1099185"/>
                    </a:xfrm>
                    <a:prstGeom prst="rect">
                      <a:avLst/>
                    </a:prstGeom>
                    <a:noFill/>
                    <a:ln>
                      <a:noFill/>
                    </a:ln>
                  </pic:spPr>
                </pic:pic>
              </a:graphicData>
            </a:graphic>
          </wp:inline>
        </w:drawing>
      </w:r>
    </w:p>
    <w:p w14:paraId="4DF4E89E" w14:textId="77777777" w:rsidR="00B62EBA" w:rsidRPr="0043289D" w:rsidRDefault="00B62EBA" w:rsidP="00B62EBA">
      <w:pPr>
        <w:jc w:val="both"/>
        <w:outlineLvl w:val="0"/>
        <w:rPr>
          <w:rFonts w:eastAsia="Calibri" w:cs="Times New Roman"/>
        </w:rPr>
      </w:pPr>
    </w:p>
    <w:p w14:paraId="478CE5CA" w14:textId="77777777" w:rsidR="00B62EBA" w:rsidRPr="0043289D" w:rsidRDefault="00B62EBA" w:rsidP="00B62EBA">
      <w:pPr>
        <w:jc w:val="both"/>
        <w:outlineLvl w:val="0"/>
        <w:rPr>
          <w:rFonts w:eastAsia="Calibri" w:cs="Times New Roman"/>
        </w:rPr>
      </w:pPr>
    </w:p>
    <w:p w14:paraId="035861E9"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t>Fondos y bienes de terceros en garantía y/o administración a largo plazo</w:t>
      </w:r>
    </w:p>
    <w:p w14:paraId="70B0CDDB" w14:textId="77777777" w:rsidR="00B62EBA" w:rsidRPr="0043289D" w:rsidRDefault="00B62EBA" w:rsidP="00B62EBA">
      <w:pPr>
        <w:jc w:val="both"/>
        <w:outlineLvl w:val="0"/>
        <w:rPr>
          <w:rFonts w:eastAsia="Calibri" w:cs="Times New Roman"/>
          <w:b/>
          <w:bCs/>
          <w:i/>
          <w:iCs/>
        </w:rPr>
      </w:pPr>
    </w:p>
    <w:p w14:paraId="49D63CD3" w14:textId="77777777" w:rsidR="00B62EBA" w:rsidRPr="0043289D" w:rsidRDefault="00B62EBA" w:rsidP="00B62EBA">
      <w:pPr>
        <w:jc w:val="both"/>
        <w:outlineLvl w:val="0"/>
        <w:rPr>
          <w:rFonts w:eastAsia="Calibri" w:cs="Times New Roman"/>
        </w:rPr>
      </w:pPr>
      <w:r w:rsidRPr="0043289D">
        <w:rPr>
          <w:rFonts w:eastAsia="Calibri" w:cs="Times New Roman"/>
        </w:rPr>
        <w:t>Este rubro presenta</w:t>
      </w:r>
      <w:r>
        <w:rPr>
          <w:rFonts w:eastAsia="Calibri" w:cs="Times New Roman"/>
        </w:rPr>
        <w:t xml:space="preserve"> un saldo el cual asciende a $ 383,749 </w:t>
      </w:r>
      <w:r w:rsidRPr="0043289D">
        <w:rPr>
          <w:rFonts w:eastAsia="Calibri" w:cs="Times New Roman"/>
        </w:rPr>
        <w:t>pesos</w:t>
      </w:r>
      <w:r>
        <w:rPr>
          <w:rFonts w:eastAsia="Calibri" w:cs="Times New Roman"/>
        </w:rPr>
        <w:t>,</w:t>
      </w:r>
      <w:r w:rsidRPr="0043289D">
        <w:rPr>
          <w:rFonts w:eastAsia="Calibri" w:cs="Times New Roman"/>
        </w:rPr>
        <w:t xml:space="preserve"> al </w:t>
      </w:r>
      <w:r>
        <w:rPr>
          <w:rFonts w:eastAsia="Calibri" w:cs="Times New Roman"/>
        </w:rPr>
        <w:t>31 de marzo de 2024</w:t>
      </w:r>
      <w:r w:rsidRPr="0043289D">
        <w:rPr>
          <w:rFonts w:eastAsia="Calibri" w:cs="Times New Roman"/>
        </w:rPr>
        <w:t xml:space="preserve"> y se integra por las obligaciones con ingresos propios, como son: licitaciones, sanciones por incumplimiento y reintegros por</w:t>
      </w:r>
      <w:r>
        <w:rPr>
          <w:rFonts w:eastAsia="Calibri" w:cs="Times New Roman"/>
        </w:rPr>
        <w:t xml:space="preserve"> conceptos de servicios básicos.</w:t>
      </w:r>
    </w:p>
    <w:p w14:paraId="3AE844A4" w14:textId="77777777" w:rsidR="00B62EBA" w:rsidRPr="0043289D" w:rsidRDefault="00B62EBA" w:rsidP="00B62EBA">
      <w:pPr>
        <w:jc w:val="both"/>
        <w:outlineLvl w:val="0"/>
        <w:rPr>
          <w:rFonts w:eastAsia="Calibri" w:cs="Times New Roman"/>
        </w:rPr>
      </w:pPr>
    </w:p>
    <w:p w14:paraId="7B9E272F" w14:textId="77777777" w:rsidR="00B62EBA" w:rsidRPr="0043289D" w:rsidRDefault="00B62EBA" w:rsidP="00B62EBA">
      <w:pPr>
        <w:jc w:val="both"/>
        <w:outlineLvl w:val="0"/>
        <w:rPr>
          <w:rFonts w:eastAsia="Calibri" w:cs="Times New Roman"/>
        </w:rPr>
      </w:pPr>
      <w:r>
        <w:rPr>
          <w:rFonts w:eastAsia="Calibri" w:cs="Times New Roman"/>
        </w:rPr>
        <w:t>Este rubro representa 0.4</w:t>
      </w:r>
      <w:r w:rsidRPr="0043289D">
        <w:rPr>
          <w:rFonts w:eastAsia="Calibri" w:cs="Times New Roman"/>
        </w:rPr>
        <w:t xml:space="preserve"> % de total del pasivo no circulante </w:t>
      </w:r>
    </w:p>
    <w:p w14:paraId="7D522D95" w14:textId="77777777" w:rsidR="00B62EBA" w:rsidRPr="0043289D" w:rsidRDefault="00B62EBA" w:rsidP="00B62EBA">
      <w:pPr>
        <w:jc w:val="both"/>
        <w:outlineLvl w:val="0"/>
        <w:rPr>
          <w:rFonts w:eastAsia="Calibri" w:cs="Times New Roman"/>
          <w:b/>
          <w:bCs/>
          <w:i/>
          <w:iCs/>
        </w:rPr>
      </w:pPr>
    </w:p>
    <w:p w14:paraId="54ABA28A" w14:textId="77777777" w:rsidR="00B62EBA" w:rsidRPr="0043289D" w:rsidRDefault="00B62EBA" w:rsidP="00B62EBA">
      <w:pPr>
        <w:jc w:val="center"/>
        <w:outlineLvl w:val="0"/>
        <w:rPr>
          <w:rFonts w:eastAsia="Calibri" w:cs="Times New Roman"/>
          <w:noProof/>
          <w:lang w:eastAsia="es-MX"/>
        </w:rPr>
      </w:pPr>
      <w:r w:rsidRPr="00F8527A">
        <w:rPr>
          <w:noProof/>
          <w:lang w:eastAsia="es-MX"/>
        </w:rPr>
        <w:drawing>
          <wp:inline distT="0" distB="0" distL="0" distR="0" wp14:anchorId="53C87905" wp14:editId="4CD79A92">
            <wp:extent cx="3728085" cy="1230630"/>
            <wp:effectExtent l="0" t="0" r="571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8085" cy="1230630"/>
                    </a:xfrm>
                    <a:prstGeom prst="rect">
                      <a:avLst/>
                    </a:prstGeom>
                    <a:noFill/>
                    <a:ln>
                      <a:noFill/>
                    </a:ln>
                  </pic:spPr>
                </pic:pic>
              </a:graphicData>
            </a:graphic>
          </wp:inline>
        </w:drawing>
      </w:r>
    </w:p>
    <w:p w14:paraId="57877A3F" w14:textId="44068ADC" w:rsidR="00B62EBA" w:rsidRDefault="00B62EBA" w:rsidP="00B62EBA">
      <w:pPr>
        <w:jc w:val="both"/>
        <w:outlineLvl w:val="0"/>
        <w:rPr>
          <w:rFonts w:eastAsia="Calibri" w:cs="Times New Roman"/>
          <w:b/>
          <w:bCs/>
          <w:i/>
          <w:iCs/>
        </w:rPr>
      </w:pPr>
    </w:p>
    <w:p w14:paraId="4A09FACE" w14:textId="77777777" w:rsidR="00B62EBA" w:rsidRPr="0043289D" w:rsidRDefault="00B62EBA" w:rsidP="00B62EBA">
      <w:pPr>
        <w:jc w:val="both"/>
        <w:outlineLvl w:val="0"/>
        <w:rPr>
          <w:rFonts w:eastAsia="Calibri" w:cs="Times New Roman"/>
          <w:b/>
          <w:bCs/>
          <w:i/>
          <w:iCs/>
        </w:rPr>
      </w:pPr>
    </w:p>
    <w:p w14:paraId="0369B53B" w14:textId="77777777" w:rsidR="00B62EBA" w:rsidRPr="0043289D" w:rsidRDefault="00B62EBA" w:rsidP="00B62EBA">
      <w:pPr>
        <w:jc w:val="both"/>
        <w:outlineLvl w:val="0"/>
        <w:rPr>
          <w:rFonts w:eastAsia="Calibri" w:cs="Times New Roman"/>
          <w:b/>
          <w:bCs/>
          <w:i/>
          <w:iCs/>
        </w:rPr>
      </w:pPr>
    </w:p>
    <w:p w14:paraId="095A52F5" w14:textId="77777777" w:rsidR="00B62EBA" w:rsidRPr="0043289D" w:rsidRDefault="00B62EBA" w:rsidP="00B62EBA">
      <w:pPr>
        <w:jc w:val="both"/>
        <w:outlineLvl w:val="0"/>
        <w:rPr>
          <w:rFonts w:eastAsia="Calibri" w:cs="Times New Roman"/>
          <w:b/>
          <w:bCs/>
          <w:i/>
          <w:u w:val="single"/>
        </w:rPr>
      </w:pPr>
      <w:r w:rsidRPr="0043289D">
        <w:rPr>
          <w:rFonts w:eastAsia="Calibri" w:cs="Times New Roman"/>
          <w:b/>
          <w:bCs/>
          <w:i/>
          <w:u w:val="single"/>
        </w:rPr>
        <w:lastRenderedPageBreak/>
        <w:t>Provisiones a largo plazo</w:t>
      </w:r>
    </w:p>
    <w:p w14:paraId="692D2F28" w14:textId="77777777" w:rsidR="00B62EBA" w:rsidRPr="0043289D" w:rsidRDefault="00B62EBA" w:rsidP="00B62EBA">
      <w:pPr>
        <w:jc w:val="both"/>
        <w:outlineLvl w:val="0"/>
        <w:rPr>
          <w:rFonts w:eastAsia="Calibri" w:cs="Times New Roman"/>
          <w:b/>
          <w:bCs/>
          <w:i/>
          <w:iCs/>
        </w:rPr>
      </w:pPr>
    </w:p>
    <w:p w14:paraId="05770D8B" w14:textId="77777777" w:rsidR="00B62EBA" w:rsidRPr="0043289D" w:rsidRDefault="00B62EBA" w:rsidP="00B62EBA">
      <w:pPr>
        <w:jc w:val="both"/>
        <w:outlineLvl w:val="0"/>
        <w:rPr>
          <w:rFonts w:eastAsia="Calibri" w:cs="Times New Roman"/>
        </w:rPr>
      </w:pPr>
      <w:r w:rsidRPr="0043289D">
        <w:rPr>
          <w:rFonts w:eastAsia="Calibri" w:cs="Times New Roman"/>
        </w:rPr>
        <w:t xml:space="preserve">Este rubro se integra por la provisión para demandas y juicios a largo plazo, para hacer frente a casos fortuitos, que resulten de la operatividad de los entes públicos que conforman el Poder Judicial. </w:t>
      </w:r>
    </w:p>
    <w:p w14:paraId="434F3236" w14:textId="77777777" w:rsidR="00B62EBA" w:rsidRPr="0043289D" w:rsidRDefault="00B62EBA" w:rsidP="00B62EBA">
      <w:pPr>
        <w:jc w:val="both"/>
        <w:outlineLvl w:val="0"/>
        <w:rPr>
          <w:rFonts w:eastAsia="Calibri" w:cs="Times New Roman"/>
        </w:rPr>
      </w:pPr>
    </w:p>
    <w:p w14:paraId="50461B9B" w14:textId="77777777" w:rsidR="00B62EBA" w:rsidRPr="0043289D" w:rsidRDefault="00B62EBA" w:rsidP="00B62EBA">
      <w:pPr>
        <w:jc w:val="both"/>
        <w:outlineLvl w:val="0"/>
        <w:rPr>
          <w:rFonts w:eastAsia="Calibri" w:cs="Times New Roman"/>
        </w:rPr>
      </w:pPr>
      <w:r w:rsidRPr="0043289D">
        <w:rPr>
          <w:rFonts w:eastAsia="Calibri" w:cs="Times New Roman"/>
        </w:rPr>
        <w:t xml:space="preserve">Al </w:t>
      </w:r>
      <w:r>
        <w:rPr>
          <w:rFonts w:eastAsia="Calibri" w:cs="Times New Roman"/>
        </w:rPr>
        <w:t>31 de marzo</w:t>
      </w:r>
      <w:r w:rsidRPr="0043289D">
        <w:rPr>
          <w:rFonts w:eastAsia="Calibri" w:cs="Times New Roman"/>
        </w:rPr>
        <w:t xml:space="preserve"> d</w:t>
      </w:r>
      <w:r>
        <w:rPr>
          <w:rFonts w:eastAsia="Calibri" w:cs="Times New Roman"/>
        </w:rPr>
        <w:t>e 2024, este rubro asciende a $ 26,292,266 pesos y representa el 28.9</w:t>
      </w:r>
      <w:r w:rsidRPr="0043289D">
        <w:rPr>
          <w:rFonts w:eastAsia="Calibri" w:cs="Times New Roman"/>
        </w:rPr>
        <w:t xml:space="preserve"> % del total del pasivo no circulante.</w:t>
      </w:r>
    </w:p>
    <w:p w14:paraId="2C9DE8EB" w14:textId="77777777" w:rsidR="00B62EBA" w:rsidRPr="0043289D" w:rsidRDefault="00B62EBA" w:rsidP="00B62EBA">
      <w:pPr>
        <w:jc w:val="both"/>
        <w:outlineLvl w:val="0"/>
        <w:rPr>
          <w:rFonts w:eastAsia="Calibri" w:cs="Times New Roman"/>
          <w:b/>
          <w:bCs/>
          <w:i/>
          <w:iCs/>
        </w:rPr>
      </w:pPr>
    </w:p>
    <w:p w14:paraId="40FD5085" w14:textId="77777777" w:rsidR="00B62EBA" w:rsidRPr="0043289D" w:rsidRDefault="00B62EBA" w:rsidP="00B62EBA">
      <w:pPr>
        <w:jc w:val="center"/>
        <w:outlineLvl w:val="0"/>
        <w:rPr>
          <w:rFonts w:eastAsia="Calibri" w:cs="Times New Roman"/>
          <w:noProof/>
          <w:lang w:eastAsia="es-MX"/>
        </w:rPr>
      </w:pPr>
      <w:r w:rsidRPr="00F8527A">
        <w:rPr>
          <w:noProof/>
          <w:lang w:eastAsia="es-MX"/>
        </w:rPr>
        <w:drawing>
          <wp:inline distT="0" distB="0" distL="0" distR="0" wp14:anchorId="0651A025" wp14:editId="04795B66">
            <wp:extent cx="3728085" cy="1099185"/>
            <wp:effectExtent l="0" t="0" r="5715"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8085" cy="1099185"/>
                    </a:xfrm>
                    <a:prstGeom prst="rect">
                      <a:avLst/>
                    </a:prstGeom>
                    <a:noFill/>
                    <a:ln>
                      <a:noFill/>
                    </a:ln>
                  </pic:spPr>
                </pic:pic>
              </a:graphicData>
            </a:graphic>
          </wp:inline>
        </w:drawing>
      </w:r>
    </w:p>
    <w:p w14:paraId="5106CD4A" w14:textId="77777777" w:rsidR="00B62EBA" w:rsidRDefault="00B62EBA" w:rsidP="00B62EBA">
      <w:pPr>
        <w:jc w:val="both"/>
        <w:rPr>
          <w:rFonts w:eastAsia="Calibri" w:cs="Arial"/>
          <w:b/>
          <w:bCs/>
          <w:szCs w:val="20"/>
          <w:lang w:val="es-ES" w:eastAsia="es-ES"/>
        </w:rPr>
      </w:pPr>
    </w:p>
    <w:p w14:paraId="0CFE7AF5" w14:textId="77777777" w:rsidR="00B62EBA" w:rsidRDefault="00B62EBA" w:rsidP="00B62EBA">
      <w:pPr>
        <w:jc w:val="both"/>
        <w:rPr>
          <w:rFonts w:eastAsia="Calibri" w:cs="Arial"/>
          <w:b/>
          <w:bCs/>
          <w:szCs w:val="20"/>
          <w:lang w:val="es-ES" w:eastAsia="es-ES"/>
        </w:rPr>
      </w:pPr>
    </w:p>
    <w:p w14:paraId="19BFD223" w14:textId="77777777" w:rsidR="00B62EBA" w:rsidRPr="0043289D" w:rsidRDefault="00B62EBA" w:rsidP="00B62EBA">
      <w:pPr>
        <w:jc w:val="both"/>
        <w:rPr>
          <w:rFonts w:eastAsia="Calibri" w:cs="Arial"/>
          <w:b/>
          <w:bCs/>
          <w:caps/>
          <w:szCs w:val="20"/>
          <w:lang w:val="es-ES" w:eastAsia="es-ES"/>
        </w:rPr>
      </w:pPr>
      <w:r w:rsidRPr="0043289D">
        <w:rPr>
          <w:rFonts w:eastAsia="Calibri" w:cs="Arial"/>
          <w:b/>
          <w:bCs/>
          <w:szCs w:val="20"/>
          <w:lang w:val="es-ES" w:eastAsia="es-ES"/>
        </w:rPr>
        <w:t>Notas al estado de variación en la hacienda pública</w:t>
      </w:r>
    </w:p>
    <w:p w14:paraId="6EED46FA" w14:textId="77777777" w:rsidR="00B62EBA" w:rsidRPr="0043289D" w:rsidRDefault="00B62EBA" w:rsidP="00B62EBA">
      <w:pPr>
        <w:jc w:val="both"/>
        <w:outlineLvl w:val="0"/>
        <w:rPr>
          <w:rFonts w:eastAsia="Calibri" w:cs="Times New Roman"/>
        </w:rPr>
      </w:pPr>
    </w:p>
    <w:p w14:paraId="1FC8E2DA" w14:textId="77777777" w:rsidR="00B62EBA" w:rsidRPr="0043289D" w:rsidRDefault="00B62EBA" w:rsidP="00B62EBA">
      <w:pPr>
        <w:jc w:val="both"/>
        <w:outlineLvl w:val="0"/>
        <w:rPr>
          <w:rFonts w:eastAsia="Calibri" w:cs="Times New Roman"/>
        </w:rPr>
      </w:pPr>
      <w:r w:rsidRPr="0043289D">
        <w:rPr>
          <w:rFonts w:eastAsia="Calibri" w:cs="Times New Roman"/>
        </w:rPr>
        <w:t>La hacienda pública representa el importe de los bienes y derechos, propiedad del Poder Judicial, dicho importe es modificado principalmente por el resultado positivo obtenido al periodo que se</w:t>
      </w:r>
      <w:r>
        <w:rPr>
          <w:rFonts w:eastAsia="Calibri" w:cs="Times New Roman"/>
        </w:rPr>
        <w:t xml:space="preserve"> informa el cual asciende a $ 21,551,264 </w:t>
      </w:r>
      <w:r w:rsidRPr="0043289D">
        <w:rPr>
          <w:rFonts w:eastAsia="Calibri" w:cs="Times New Roman"/>
        </w:rPr>
        <w:t>pesos, también es afectado por el resultado derivado del registro de operaciones de ejercicios anteriores por reintegros y regularización de saldos; a la fecha la hacienda</w:t>
      </w:r>
      <w:r>
        <w:rPr>
          <w:rFonts w:eastAsia="Calibri" w:cs="Times New Roman"/>
        </w:rPr>
        <w:t xml:space="preserve"> pública refleja un saldo de $ 876,826,768 </w:t>
      </w:r>
      <w:r w:rsidRPr="0043289D">
        <w:rPr>
          <w:rFonts w:eastAsia="Calibri" w:cs="Times New Roman"/>
        </w:rPr>
        <w:t>pesos.</w:t>
      </w:r>
    </w:p>
    <w:p w14:paraId="78B38CC0" w14:textId="77777777" w:rsidR="00B62EBA" w:rsidRPr="0043289D" w:rsidRDefault="00B62EBA" w:rsidP="00B62EBA">
      <w:pPr>
        <w:jc w:val="both"/>
        <w:outlineLvl w:val="0"/>
        <w:rPr>
          <w:rFonts w:eastAsia="Calibri" w:cs="Times New Roman"/>
        </w:rPr>
      </w:pPr>
    </w:p>
    <w:p w14:paraId="1B2B8D80" w14:textId="77777777" w:rsidR="00B62EBA" w:rsidRPr="0043289D" w:rsidRDefault="00B62EBA" w:rsidP="00B62EBA">
      <w:pPr>
        <w:jc w:val="both"/>
        <w:outlineLvl w:val="0"/>
        <w:rPr>
          <w:rFonts w:eastAsia="Calibri" w:cs="Times New Roman"/>
        </w:rPr>
      </w:pPr>
      <w:r w:rsidRPr="0043289D">
        <w:rPr>
          <w:rFonts w:eastAsia="Calibri" w:cs="Times New Roman"/>
        </w:rPr>
        <w:t>El aumento o disminución al patrimonio, derivado del registro de los incrementos o decrementos realizados al patrimonio, a la fecha que se informa, presenta una modificación n</w:t>
      </w:r>
      <w:r>
        <w:rPr>
          <w:rFonts w:eastAsia="Calibri" w:cs="Times New Roman"/>
        </w:rPr>
        <w:t xml:space="preserve">eta positiva al patrimonio de $ 20,417,545 </w:t>
      </w:r>
      <w:r w:rsidRPr="0043289D">
        <w:rPr>
          <w:rFonts w:eastAsia="Calibri" w:cs="Times New Roman"/>
        </w:rPr>
        <w:t>pesos.</w:t>
      </w:r>
    </w:p>
    <w:p w14:paraId="70E022C4" w14:textId="77777777" w:rsidR="00B62EBA" w:rsidRPr="0043289D" w:rsidRDefault="00B62EBA" w:rsidP="00B62EBA">
      <w:pPr>
        <w:jc w:val="both"/>
        <w:outlineLvl w:val="0"/>
        <w:rPr>
          <w:rFonts w:eastAsia="Calibri" w:cs="Times New Roman"/>
        </w:rPr>
      </w:pPr>
    </w:p>
    <w:p w14:paraId="61A2AD0A"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Notas al estado de flujos de efectivo</w:t>
      </w:r>
    </w:p>
    <w:p w14:paraId="38D551F1" w14:textId="77777777" w:rsidR="00B62EBA" w:rsidRPr="0043289D" w:rsidRDefault="00B62EBA" w:rsidP="00B62EBA">
      <w:pPr>
        <w:jc w:val="both"/>
        <w:outlineLvl w:val="0"/>
        <w:rPr>
          <w:rFonts w:eastAsia="Calibri" w:cs="Times New Roman"/>
        </w:rPr>
      </w:pPr>
    </w:p>
    <w:p w14:paraId="6AB5674F" w14:textId="77777777" w:rsidR="00B62EBA" w:rsidRPr="0043289D" w:rsidRDefault="00B62EBA" w:rsidP="00B62EBA">
      <w:pPr>
        <w:tabs>
          <w:tab w:val="left" w:pos="6840"/>
        </w:tabs>
        <w:jc w:val="both"/>
        <w:outlineLvl w:val="0"/>
        <w:rPr>
          <w:rFonts w:eastAsia="Calibri" w:cs="Times New Roman"/>
        </w:rPr>
      </w:pPr>
      <w:r w:rsidRPr="0043289D">
        <w:rPr>
          <w:rFonts w:eastAsia="Calibri" w:cs="Times New Roman"/>
        </w:rPr>
        <w:t>El estado de flujos de efectivo del Poder Judicial, muestra los flujos de efectivo, conformado por los elementos básicos: origen y aplicación de los recursos.</w:t>
      </w:r>
    </w:p>
    <w:p w14:paraId="4C493CF5" w14:textId="77777777" w:rsidR="00B62EBA" w:rsidRPr="0043289D" w:rsidRDefault="00B62EBA" w:rsidP="00B62EBA">
      <w:pPr>
        <w:tabs>
          <w:tab w:val="left" w:pos="6840"/>
        </w:tabs>
        <w:jc w:val="both"/>
        <w:outlineLvl w:val="0"/>
        <w:rPr>
          <w:rFonts w:eastAsia="Calibri" w:cs="Times New Roman"/>
        </w:rPr>
      </w:pPr>
    </w:p>
    <w:p w14:paraId="30B45520" w14:textId="77777777" w:rsidR="00B62EBA" w:rsidRPr="0043289D" w:rsidRDefault="00B62EBA" w:rsidP="00B62EBA">
      <w:pPr>
        <w:tabs>
          <w:tab w:val="left" w:pos="6840"/>
        </w:tabs>
        <w:jc w:val="both"/>
        <w:outlineLvl w:val="0"/>
        <w:rPr>
          <w:rFonts w:eastAsia="Calibri" w:cs="Times New Roman"/>
        </w:rPr>
      </w:pPr>
      <w:r>
        <w:rPr>
          <w:rFonts w:eastAsia="Calibri" w:cs="Times New Roman"/>
        </w:rPr>
        <w:t>El de</w:t>
      </w:r>
      <w:r w:rsidRPr="0043289D">
        <w:rPr>
          <w:rFonts w:eastAsia="Calibri" w:cs="Times New Roman"/>
        </w:rPr>
        <w:t xml:space="preserve">cremento neto en el efectivo y equivalentes al efectivo, al </w:t>
      </w:r>
      <w:r>
        <w:rPr>
          <w:rFonts w:eastAsia="Calibri" w:cs="Times New Roman"/>
        </w:rPr>
        <w:t xml:space="preserve">31 de marzo de 2024 presenta una cifra de $ 19,869,262 </w:t>
      </w:r>
      <w:r w:rsidRPr="0043289D">
        <w:rPr>
          <w:rFonts w:eastAsia="Calibri" w:cs="Times New Roman"/>
        </w:rPr>
        <w:t xml:space="preserve">pesos. </w:t>
      </w:r>
    </w:p>
    <w:p w14:paraId="11328977" w14:textId="77777777" w:rsidR="00B62EBA" w:rsidRPr="0043289D" w:rsidRDefault="00B62EBA" w:rsidP="00B62EBA">
      <w:pPr>
        <w:tabs>
          <w:tab w:val="left" w:pos="6840"/>
        </w:tabs>
        <w:jc w:val="both"/>
        <w:outlineLvl w:val="0"/>
        <w:rPr>
          <w:rFonts w:eastAsia="Calibri" w:cs="Times New Roman"/>
        </w:rPr>
      </w:pPr>
    </w:p>
    <w:p w14:paraId="5AD04FBA"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Flujo de efectivo de las actividades de operación</w:t>
      </w:r>
    </w:p>
    <w:p w14:paraId="048F86F0" w14:textId="77777777" w:rsidR="00B62EBA" w:rsidRPr="0043289D" w:rsidRDefault="00B62EBA" w:rsidP="00B62EBA">
      <w:pPr>
        <w:tabs>
          <w:tab w:val="left" w:pos="6840"/>
        </w:tabs>
        <w:jc w:val="both"/>
        <w:outlineLvl w:val="0"/>
        <w:rPr>
          <w:rFonts w:eastAsia="Calibri" w:cs="Times New Roman"/>
          <w:b/>
          <w:i/>
        </w:rPr>
      </w:pPr>
    </w:p>
    <w:p w14:paraId="11385C0A" w14:textId="77777777" w:rsidR="00B62EBA" w:rsidRDefault="00B62EBA" w:rsidP="00B62EBA">
      <w:pPr>
        <w:tabs>
          <w:tab w:val="left" w:pos="6840"/>
        </w:tabs>
        <w:jc w:val="both"/>
        <w:outlineLvl w:val="0"/>
        <w:rPr>
          <w:rFonts w:eastAsia="Calibri" w:cs="Times New Roman"/>
        </w:rPr>
      </w:pPr>
      <w:r w:rsidRPr="0043289D">
        <w:rPr>
          <w:rFonts w:eastAsia="Calibri" w:cs="Times New Roman"/>
        </w:rPr>
        <w:t>Durante el periodo que se informa, el Poder Judicial presentó ingresos d</w:t>
      </w:r>
      <w:r>
        <w:rPr>
          <w:rFonts w:eastAsia="Calibri" w:cs="Times New Roman"/>
        </w:rPr>
        <w:t xml:space="preserve">e gestión por la cantidad de $ 262,641,145 </w:t>
      </w:r>
      <w:r w:rsidRPr="0043289D">
        <w:rPr>
          <w:rFonts w:eastAsia="Calibri" w:cs="Times New Roman"/>
        </w:rPr>
        <w:t xml:space="preserve">pesos. El gasto de funcionamiento devengado por el período comprendido del 1 de enero al </w:t>
      </w:r>
      <w:r>
        <w:rPr>
          <w:rFonts w:eastAsia="Calibri" w:cs="Times New Roman"/>
        </w:rPr>
        <w:t xml:space="preserve">31 de marzo de 2024 asciende a $ 241,089,881 </w:t>
      </w:r>
      <w:r w:rsidRPr="0043289D">
        <w:rPr>
          <w:rFonts w:eastAsia="Calibri" w:cs="Times New Roman"/>
        </w:rPr>
        <w:t xml:space="preserve">pesos, el cual representa un flujo neto positivo por actividades de </w:t>
      </w:r>
      <w:r>
        <w:rPr>
          <w:rFonts w:eastAsia="Calibri" w:cs="Times New Roman"/>
        </w:rPr>
        <w:t xml:space="preserve">operación por un importe </w:t>
      </w:r>
      <w:proofErr w:type="gramStart"/>
      <w:r>
        <w:rPr>
          <w:rFonts w:eastAsia="Calibri" w:cs="Times New Roman"/>
        </w:rPr>
        <w:t>de  $</w:t>
      </w:r>
      <w:proofErr w:type="gramEnd"/>
      <w:r>
        <w:rPr>
          <w:rFonts w:eastAsia="Calibri" w:cs="Times New Roman"/>
        </w:rPr>
        <w:t xml:space="preserve"> 21,551,264 </w:t>
      </w:r>
      <w:r w:rsidRPr="0043289D">
        <w:rPr>
          <w:rFonts w:eastAsia="Calibri" w:cs="Times New Roman"/>
        </w:rPr>
        <w:t>pesos.</w:t>
      </w:r>
    </w:p>
    <w:p w14:paraId="3A2F9D9C" w14:textId="77777777" w:rsidR="00B62EBA" w:rsidRDefault="00B62EBA" w:rsidP="00B62EBA">
      <w:pPr>
        <w:tabs>
          <w:tab w:val="left" w:pos="6840"/>
        </w:tabs>
        <w:jc w:val="both"/>
        <w:outlineLvl w:val="0"/>
        <w:rPr>
          <w:rFonts w:eastAsia="Calibri" w:cs="Times New Roman"/>
        </w:rPr>
      </w:pPr>
    </w:p>
    <w:p w14:paraId="4FBE496E"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Flujo de efectivo de las actividades de inversión</w:t>
      </w:r>
    </w:p>
    <w:p w14:paraId="5213E00B" w14:textId="77777777" w:rsidR="00B62EBA" w:rsidRPr="0043289D" w:rsidRDefault="00B62EBA" w:rsidP="00B62EBA">
      <w:pPr>
        <w:tabs>
          <w:tab w:val="left" w:pos="6840"/>
        </w:tabs>
        <w:jc w:val="both"/>
        <w:outlineLvl w:val="0"/>
        <w:rPr>
          <w:rFonts w:eastAsia="Calibri" w:cs="Times New Roman"/>
          <w:b/>
          <w:i/>
        </w:rPr>
      </w:pPr>
    </w:p>
    <w:p w14:paraId="5F86F317" w14:textId="77777777" w:rsidR="00B62EBA" w:rsidRPr="0043289D" w:rsidRDefault="00B62EBA" w:rsidP="00B62EBA">
      <w:pPr>
        <w:tabs>
          <w:tab w:val="left" w:pos="6840"/>
        </w:tabs>
        <w:jc w:val="both"/>
        <w:outlineLvl w:val="0"/>
        <w:rPr>
          <w:rFonts w:eastAsia="Calibri" w:cs="Times New Roman"/>
        </w:rPr>
      </w:pPr>
      <w:r w:rsidRPr="0043289D">
        <w:rPr>
          <w:rFonts w:eastAsia="Calibri" w:cs="Times New Roman"/>
        </w:rPr>
        <w:t>Durante el periodo que se informa, el Poder Judicial reflejó ingresos d</w:t>
      </w:r>
      <w:r>
        <w:rPr>
          <w:rFonts w:eastAsia="Calibri" w:cs="Times New Roman"/>
        </w:rPr>
        <w:t xml:space="preserve">e inversión por la cantidad de $ 9,668,557 </w:t>
      </w:r>
      <w:r w:rsidRPr="0043289D">
        <w:rPr>
          <w:rFonts w:eastAsia="Calibri" w:cs="Times New Roman"/>
        </w:rPr>
        <w:t xml:space="preserve">pesos. El gasto de inversión devengado por el periodo comprendido del 1 de enero al </w:t>
      </w:r>
      <w:r>
        <w:rPr>
          <w:rFonts w:eastAsia="Calibri" w:cs="Times New Roman"/>
        </w:rPr>
        <w:t xml:space="preserve">31 de marzo de 2024 refleja la cifra de $ 31,597,830 </w:t>
      </w:r>
      <w:r w:rsidRPr="0043289D">
        <w:rPr>
          <w:rFonts w:eastAsia="Calibri" w:cs="Times New Roman"/>
        </w:rPr>
        <w:t xml:space="preserve">pesos, el cual representa un flujo neto </w:t>
      </w:r>
      <w:r>
        <w:rPr>
          <w:rFonts w:eastAsia="Calibri" w:cs="Times New Roman"/>
        </w:rPr>
        <w:t>negativo</w:t>
      </w:r>
      <w:r w:rsidRPr="0043289D">
        <w:rPr>
          <w:rFonts w:eastAsia="Calibri" w:cs="Times New Roman"/>
        </w:rPr>
        <w:t xml:space="preserve"> por actividades d</w:t>
      </w:r>
      <w:r>
        <w:rPr>
          <w:rFonts w:eastAsia="Calibri" w:cs="Times New Roman"/>
        </w:rPr>
        <w:t xml:space="preserve">e inversión por un importe de $ 21,929,273 </w:t>
      </w:r>
      <w:r w:rsidRPr="0043289D">
        <w:rPr>
          <w:rFonts w:eastAsia="Calibri" w:cs="Times New Roman"/>
        </w:rPr>
        <w:t>pesos.</w:t>
      </w:r>
    </w:p>
    <w:p w14:paraId="5728A52D" w14:textId="77777777" w:rsidR="00B62EBA" w:rsidRPr="0043289D" w:rsidRDefault="00B62EBA" w:rsidP="00B62EBA">
      <w:pPr>
        <w:tabs>
          <w:tab w:val="left" w:pos="6840"/>
        </w:tabs>
        <w:jc w:val="both"/>
        <w:outlineLvl w:val="0"/>
        <w:rPr>
          <w:rFonts w:eastAsia="Calibri" w:cs="Times New Roman"/>
        </w:rPr>
      </w:pPr>
    </w:p>
    <w:p w14:paraId="4D5597CC"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Flujo de efectivo de las actividades de financiamiento</w:t>
      </w:r>
    </w:p>
    <w:p w14:paraId="67AD4EE4" w14:textId="77777777" w:rsidR="00B62EBA" w:rsidRPr="0043289D" w:rsidRDefault="00B62EBA" w:rsidP="00B62EBA">
      <w:pPr>
        <w:tabs>
          <w:tab w:val="left" w:pos="6840"/>
        </w:tabs>
        <w:jc w:val="both"/>
        <w:outlineLvl w:val="0"/>
        <w:rPr>
          <w:rFonts w:eastAsia="Calibri" w:cs="Times New Roman"/>
          <w:b/>
          <w:i/>
        </w:rPr>
      </w:pPr>
    </w:p>
    <w:p w14:paraId="7EB85C3D" w14:textId="77777777" w:rsidR="00B62EBA" w:rsidRPr="0043289D" w:rsidRDefault="00B62EBA" w:rsidP="00B62EBA">
      <w:pPr>
        <w:tabs>
          <w:tab w:val="left" w:pos="6840"/>
        </w:tabs>
        <w:jc w:val="both"/>
        <w:outlineLvl w:val="0"/>
        <w:rPr>
          <w:rFonts w:eastAsia="Calibri" w:cs="Times New Roman"/>
        </w:rPr>
      </w:pPr>
      <w:r w:rsidRPr="0043289D">
        <w:rPr>
          <w:rFonts w:eastAsia="Calibri" w:cs="Times New Roman"/>
        </w:rPr>
        <w:t>Durante el periodo que se informa, el Poder Judicial reflejó ingresos por fina</w:t>
      </w:r>
      <w:r>
        <w:rPr>
          <w:rFonts w:eastAsia="Calibri" w:cs="Times New Roman"/>
        </w:rPr>
        <w:t xml:space="preserve">nciamiento por la cantidad de $ 4,036,228 </w:t>
      </w:r>
      <w:r w:rsidRPr="0043289D">
        <w:rPr>
          <w:rFonts w:eastAsia="Calibri" w:cs="Times New Roman"/>
        </w:rPr>
        <w:t xml:space="preserve">pesos. La aplicación por actividades de financiamiento por el periodo comprendido del 1 de enero al </w:t>
      </w:r>
      <w:r>
        <w:rPr>
          <w:rFonts w:eastAsia="Calibri" w:cs="Times New Roman"/>
        </w:rPr>
        <w:t xml:space="preserve">31 de marzo de 2024 asciende a $ 23,527,481 </w:t>
      </w:r>
      <w:r w:rsidRPr="0043289D">
        <w:rPr>
          <w:rFonts w:eastAsia="Calibri" w:cs="Times New Roman"/>
        </w:rPr>
        <w:t xml:space="preserve">pesos, el cual representa un flujo neto </w:t>
      </w:r>
      <w:r>
        <w:rPr>
          <w:rFonts w:eastAsia="Calibri" w:cs="Times New Roman"/>
        </w:rPr>
        <w:t>a la baja</w:t>
      </w:r>
      <w:r w:rsidRPr="0043289D">
        <w:rPr>
          <w:rFonts w:eastAsia="Calibri" w:cs="Times New Roman"/>
        </w:rPr>
        <w:t xml:space="preserve"> por actividades de fi</w:t>
      </w:r>
      <w:r>
        <w:rPr>
          <w:rFonts w:eastAsia="Calibri" w:cs="Times New Roman"/>
        </w:rPr>
        <w:t xml:space="preserve">nanciamiento por un importe de $ 19,491,253 </w:t>
      </w:r>
      <w:r w:rsidRPr="0043289D">
        <w:rPr>
          <w:rFonts w:eastAsia="Calibri" w:cs="Times New Roman"/>
        </w:rPr>
        <w:t>pesos.</w:t>
      </w:r>
    </w:p>
    <w:p w14:paraId="01B78115" w14:textId="7BE7855A" w:rsidR="00B62EBA" w:rsidRDefault="00B62EBA" w:rsidP="00B62EBA">
      <w:pPr>
        <w:tabs>
          <w:tab w:val="left" w:pos="6840"/>
        </w:tabs>
        <w:jc w:val="both"/>
        <w:outlineLvl w:val="0"/>
        <w:rPr>
          <w:rFonts w:eastAsia="Calibri" w:cs="Times New Roman"/>
        </w:rPr>
      </w:pPr>
    </w:p>
    <w:p w14:paraId="7BF3C9B3" w14:textId="528DC98B" w:rsidR="00B62EBA" w:rsidRDefault="00B62EBA" w:rsidP="00B62EBA">
      <w:pPr>
        <w:tabs>
          <w:tab w:val="left" w:pos="6840"/>
        </w:tabs>
        <w:jc w:val="both"/>
        <w:outlineLvl w:val="0"/>
        <w:rPr>
          <w:rFonts w:eastAsia="Calibri" w:cs="Times New Roman"/>
        </w:rPr>
      </w:pPr>
    </w:p>
    <w:p w14:paraId="2479BA88" w14:textId="77777777" w:rsidR="00B62EBA" w:rsidRPr="0043289D" w:rsidRDefault="00B62EBA" w:rsidP="00B62EBA">
      <w:pPr>
        <w:tabs>
          <w:tab w:val="left" w:pos="6840"/>
        </w:tabs>
        <w:jc w:val="both"/>
        <w:outlineLvl w:val="0"/>
        <w:rPr>
          <w:rFonts w:eastAsia="Calibri" w:cs="Times New Roman"/>
        </w:rPr>
      </w:pPr>
    </w:p>
    <w:p w14:paraId="77DFABE9"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lastRenderedPageBreak/>
        <w:t>Efectivo y equivalentes al efectivo al final del ejercicio</w:t>
      </w:r>
    </w:p>
    <w:p w14:paraId="5AD30D12" w14:textId="77777777" w:rsidR="00B62EBA" w:rsidRPr="0043289D" w:rsidRDefault="00B62EBA" w:rsidP="00B62EBA">
      <w:pPr>
        <w:numPr>
          <w:ilvl w:val="1"/>
          <w:numId w:val="0"/>
        </w:numPr>
        <w:jc w:val="both"/>
        <w:rPr>
          <w:rFonts w:eastAsia="Calibri" w:cs="Arial"/>
          <w:b/>
          <w:bCs/>
          <w:szCs w:val="20"/>
        </w:rPr>
      </w:pPr>
    </w:p>
    <w:p w14:paraId="6DA94D05" w14:textId="77777777" w:rsidR="00B62EBA" w:rsidRPr="0043289D" w:rsidRDefault="00B62EBA" w:rsidP="00B62EBA">
      <w:pPr>
        <w:numPr>
          <w:ilvl w:val="1"/>
          <w:numId w:val="0"/>
        </w:numPr>
        <w:jc w:val="both"/>
        <w:rPr>
          <w:rFonts w:eastAsia="Calibri" w:cs="Arial"/>
          <w:bCs/>
          <w:szCs w:val="20"/>
        </w:rPr>
      </w:pPr>
      <w:r w:rsidRPr="0043289D">
        <w:rPr>
          <w:rFonts w:eastAsia="Calibri" w:cs="Arial"/>
          <w:bCs/>
          <w:szCs w:val="20"/>
        </w:rPr>
        <w:t>Las cifras del efectivo y equivalentes al efectivo, al final del ejercicio que figuran la última parte del estado de flujos de efectivo del Poder Judicial, es el siguiente:</w:t>
      </w:r>
    </w:p>
    <w:p w14:paraId="12FC9EB9" w14:textId="77777777" w:rsidR="00B62EBA" w:rsidRPr="0043289D" w:rsidRDefault="00B62EBA" w:rsidP="00B62EBA">
      <w:pPr>
        <w:tabs>
          <w:tab w:val="left" w:pos="6840"/>
        </w:tabs>
        <w:jc w:val="both"/>
        <w:outlineLvl w:val="0"/>
        <w:rPr>
          <w:rFonts w:eastAsia="Calibri" w:cs="Arial"/>
          <w:szCs w:val="20"/>
        </w:rPr>
      </w:pPr>
    </w:p>
    <w:p w14:paraId="0061D3E3" w14:textId="77777777" w:rsidR="00B62EBA" w:rsidRPr="0043289D" w:rsidRDefault="00B62EBA" w:rsidP="00B62EBA">
      <w:pPr>
        <w:tabs>
          <w:tab w:val="left" w:pos="6840"/>
        </w:tabs>
        <w:jc w:val="center"/>
        <w:outlineLvl w:val="0"/>
        <w:rPr>
          <w:rFonts w:eastAsia="Calibri" w:cs="Times New Roman"/>
        </w:rPr>
      </w:pPr>
      <w:r w:rsidRPr="00C06B4A">
        <w:rPr>
          <w:noProof/>
          <w:lang w:eastAsia="es-MX"/>
        </w:rPr>
        <w:drawing>
          <wp:inline distT="0" distB="0" distL="0" distR="0" wp14:anchorId="3EB4151F" wp14:editId="3528FFD2">
            <wp:extent cx="3729600" cy="1106039"/>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9600" cy="1106039"/>
                    </a:xfrm>
                    <a:prstGeom prst="rect">
                      <a:avLst/>
                    </a:prstGeom>
                    <a:noFill/>
                    <a:ln>
                      <a:noFill/>
                    </a:ln>
                  </pic:spPr>
                </pic:pic>
              </a:graphicData>
            </a:graphic>
          </wp:inline>
        </w:drawing>
      </w:r>
    </w:p>
    <w:p w14:paraId="440A532D" w14:textId="77777777" w:rsidR="00B62EBA" w:rsidRDefault="00B62EBA" w:rsidP="00B62EBA">
      <w:pPr>
        <w:rPr>
          <w:rFonts w:eastAsia="Calibri" w:cs="Arial"/>
          <w:b/>
          <w:bCs/>
          <w:szCs w:val="20"/>
          <w:lang w:val="es-ES" w:eastAsia="es-ES"/>
        </w:rPr>
      </w:pPr>
    </w:p>
    <w:p w14:paraId="5B25C987" w14:textId="77777777" w:rsidR="00B62EBA" w:rsidRPr="0043289D" w:rsidRDefault="00B62EBA" w:rsidP="00B62EBA">
      <w:pPr>
        <w:rPr>
          <w:rFonts w:eastAsia="Calibri" w:cs="Arial"/>
          <w:b/>
          <w:bCs/>
          <w:szCs w:val="20"/>
          <w:lang w:val="es-ES" w:eastAsia="es-ES"/>
        </w:rPr>
      </w:pPr>
    </w:p>
    <w:p w14:paraId="53B122A6"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Efectivo y equivalentes</w:t>
      </w:r>
    </w:p>
    <w:p w14:paraId="4D8B15A4" w14:textId="77777777" w:rsidR="00B62EBA" w:rsidRPr="0043289D" w:rsidRDefault="00B62EBA" w:rsidP="00B62EBA">
      <w:pPr>
        <w:rPr>
          <w:rFonts w:eastAsia="Calibri" w:cs="Times New Roman"/>
          <w:b/>
        </w:rPr>
      </w:pPr>
    </w:p>
    <w:p w14:paraId="6BCA1E86" w14:textId="77777777" w:rsidR="00B62EBA" w:rsidRPr="0043289D" w:rsidRDefault="00B62EBA" w:rsidP="00B62EBA">
      <w:pPr>
        <w:tabs>
          <w:tab w:val="left" w:pos="6690"/>
        </w:tabs>
        <w:jc w:val="both"/>
        <w:rPr>
          <w:rFonts w:eastAsia="Calibri" w:cs="Times New Roman"/>
        </w:rPr>
      </w:pPr>
      <w:r w:rsidRPr="0043289D">
        <w:rPr>
          <w:rFonts w:eastAsia="Calibri" w:cs="Times New Roman"/>
        </w:rPr>
        <w:t>El análisis de los saldos inicial y final de efectivo y equivalentes al efectivo, al final del ejercicio del estado de flujos de efectivo, respecto a la composición del rubro de efectivo y equivalentes es como sigue:</w:t>
      </w:r>
    </w:p>
    <w:p w14:paraId="4401F4BD" w14:textId="77777777" w:rsidR="00B62EBA" w:rsidRPr="0043289D" w:rsidRDefault="00B62EBA" w:rsidP="00B62EBA">
      <w:pPr>
        <w:tabs>
          <w:tab w:val="left" w:pos="6840"/>
        </w:tabs>
        <w:jc w:val="both"/>
        <w:outlineLvl w:val="0"/>
        <w:rPr>
          <w:rFonts w:eastAsia="Calibri" w:cs="Times New Roman"/>
        </w:rPr>
      </w:pPr>
    </w:p>
    <w:p w14:paraId="1A16CC75" w14:textId="77777777" w:rsidR="00B62EBA" w:rsidRPr="0043289D" w:rsidRDefault="00B62EBA" w:rsidP="00B62EBA">
      <w:pPr>
        <w:tabs>
          <w:tab w:val="left" w:pos="6840"/>
        </w:tabs>
        <w:jc w:val="center"/>
        <w:outlineLvl w:val="0"/>
        <w:rPr>
          <w:rFonts w:eastAsia="Calibri" w:cs="Times New Roman"/>
        </w:rPr>
      </w:pPr>
      <w:r w:rsidRPr="00C06B4A">
        <w:rPr>
          <w:noProof/>
          <w:lang w:eastAsia="es-MX"/>
        </w:rPr>
        <w:drawing>
          <wp:inline distT="0" distB="0" distL="0" distR="0" wp14:anchorId="6361F4A8" wp14:editId="5C568837">
            <wp:extent cx="3729600" cy="2342198"/>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9600" cy="2342198"/>
                    </a:xfrm>
                    <a:prstGeom prst="rect">
                      <a:avLst/>
                    </a:prstGeom>
                    <a:noFill/>
                    <a:ln>
                      <a:noFill/>
                    </a:ln>
                  </pic:spPr>
                </pic:pic>
              </a:graphicData>
            </a:graphic>
          </wp:inline>
        </w:drawing>
      </w:r>
    </w:p>
    <w:p w14:paraId="77AE5727" w14:textId="77777777" w:rsidR="00B62EBA" w:rsidRPr="0043289D" w:rsidRDefault="00B62EBA" w:rsidP="00B62EBA">
      <w:pPr>
        <w:tabs>
          <w:tab w:val="left" w:pos="6840"/>
        </w:tabs>
        <w:jc w:val="both"/>
        <w:outlineLvl w:val="0"/>
        <w:rPr>
          <w:rFonts w:eastAsia="Calibri" w:cs="Times New Roman"/>
        </w:rPr>
      </w:pPr>
    </w:p>
    <w:p w14:paraId="76526B46"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Adquisiciones de las actividades de inversión efectivamente pagadas</w:t>
      </w:r>
    </w:p>
    <w:p w14:paraId="52EA633A" w14:textId="77777777" w:rsidR="00B62EBA" w:rsidRPr="0043289D" w:rsidRDefault="00B62EBA" w:rsidP="00B62EBA">
      <w:pPr>
        <w:tabs>
          <w:tab w:val="left" w:pos="6840"/>
        </w:tabs>
        <w:jc w:val="both"/>
        <w:outlineLvl w:val="0"/>
        <w:rPr>
          <w:rFonts w:eastAsia="Calibri" w:cs="Times New Roman"/>
          <w:b/>
          <w:bCs/>
        </w:rPr>
      </w:pPr>
    </w:p>
    <w:p w14:paraId="04ED7939" w14:textId="77777777" w:rsidR="00B62EBA" w:rsidRPr="0043289D" w:rsidRDefault="00B62EBA" w:rsidP="00B62EBA">
      <w:pPr>
        <w:tabs>
          <w:tab w:val="left" w:pos="6840"/>
        </w:tabs>
        <w:jc w:val="both"/>
        <w:outlineLvl w:val="0"/>
        <w:rPr>
          <w:rFonts w:eastAsia="Calibri" w:cs="Times New Roman"/>
          <w:bCs/>
        </w:rPr>
      </w:pPr>
      <w:r w:rsidRPr="0043289D">
        <w:rPr>
          <w:rFonts w:eastAsia="Calibri" w:cs="Times New Roman"/>
          <w:bCs/>
        </w:rPr>
        <w:t xml:space="preserve">Al </w:t>
      </w:r>
      <w:r>
        <w:rPr>
          <w:rFonts w:eastAsia="Calibri" w:cs="Times New Roman"/>
          <w:bCs/>
        </w:rPr>
        <w:t>31 de marzo de 2024</w:t>
      </w:r>
      <w:r w:rsidRPr="0043289D">
        <w:rPr>
          <w:rFonts w:eastAsia="Calibri" w:cs="Times New Roman"/>
          <w:bCs/>
        </w:rPr>
        <w:t>, se realizaron adquisiciones de las actividades de inversión efectivamente pagadas, respecto al apartado de aplicación, mismas que a continuación se describen:</w:t>
      </w:r>
    </w:p>
    <w:p w14:paraId="25502852" w14:textId="77777777" w:rsidR="00B62EBA" w:rsidRPr="0043289D" w:rsidRDefault="00B62EBA" w:rsidP="00B62EBA">
      <w:pPr>
        <w:tabs>
          <w:tab w:val="left" w:pos="6840"/>
        </w:tabs>
        <w:jc w:val="both"/>
        <w:outlineLvl w:val="0"/>
        <w:rPr>
          <w:rFonts w:eastAsia="Calibri" w:cs="Times New Roman"/>
        </w:rPr>
      </w:pPr>
    </w:p>
    <w:p w14:paraId="0F279680" w14:textId="77777777" w:rsidR="00B62EBA" w:rsidRDefault="00B62EBA" w:rsidP="00B62EBA">
      <w:pPr>
        <w:tabs>
          <w:tab w:val="left" w:pos="6840"/>
        </w:tabs>
        <w:jc w:val="center"/>
        <w:outlineLvl w:val="0"/>
        <w:rPr>
          <w:rFonts w:eastAsia="Calibri" w:cs="Times New Roman"/>
        </w:rPr>
      </w:pPr>
      <w:r w:rsidRPr="00A778F2">
        <w:rPr>
          <w:noProof/>
          <w:lang w:eastAsia="es-MX"/>
        </w:rPr>
        <w:lastRenderedPageBreak/>
        <w:drawing>
          <wp:inline distT="0" distB="0" distL="0" distR="0" wp14:anchorId="07611FF7" wp14:editId="75F27769">
            <wp:extent cx="3729600" cy="2986637"/>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9600" cy="2986637"/>
                    </a:xfrm>
                    <a:prstGeom prst="rect">
                      <a:avLst/>
                    </a:prstGeom>
                    <a:noFill/>
                    <a:ln>
                      <a:noFill/>
                    </a:ln>
                  </pic:spPr>
                </pic:pic>
              </a:graphicData>
            </a:graphic>
          </wp:inline>
        </w:drawing>
      </w:r>
    </w:p>
    <w:p w14:paraId="7CC575A0" w14:textId="02813CCB" w:rsidR="00B62EBA" w:rsidRDefault="00B62EBA" w:rsidP="00B62EBA">
      <w:pPr>
        <w:tabs>
          <w:tab w:val="left" w:pos="6840"/>
        </w:tabs>
        <w:jc w:val="both"/>
        <w:outlineLvl w:val="0"/>
        <w:rPr>
          <w:rFonts w:eastAsia="Calibri" w:cs="Times New Roman"/>
        </w:rPr>
      </w:pPr>
    </w:p>
    <w:p w14:paraId="3305FB8F" w14:textId="77777777" w:rsidR="00B62EBA" w:rsidRPr="0043289D" w:rsidRDefault="00B62EBA" w:rsidP="00B62EBA">
      <w:pPr>
        <w:tabs>
          <w:tab w:val="left" w:pos="6840"/>
        </w:tabs>
        <w:jc w:val="both"/>
        <w:outlineLvl w:val="0"/>
        <w:rPr>
          <w:rFonts w:eastAsia="Calibri" w:cs="Times New Roman"/>
        </w:rPr>
      </w:pPr>
    </w:p>
    <w:p w14:paraId="3E3E861E"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Conciliación de flujos de efectivo netos</w:t>
      </w:r>
    </w:p>
    <w:p w14:paraId="7FAC04A3" w14:textId="77777777" w:rsidR="00B62EBA" w:rsidRPr="0043289D" w:rsidRDefault="00B62EBA" w:rsidP="00B62EBA">
      <w:pPr>
        <w:tabs>
          <w:tab w:val="left" w:pos="6840"/>
        </w:tabs>
        <w:jc w:val="both"/>
        <w:outlineLvl w:val="0"/>
        <w:rPr>
          <w:rFonts w:eastAsia="Calibri" w:cs="Times New Roman"/>
        </w:rPr>
      </w:pPr>
    </w:p>
    <w:p w14:paraId="053AD5F5" w14:textId="77777777" w:rsidR="00B62EBA" w:rsidRPr="0043289D" w:rsidRDefault="00B62EBA" w:rsidP="00B62EBA">
      <w:pPr>
        <w:tabs>
          <w:tab w:val="left" w:pos="6840"/>
        </w:tabs>
        <w:jc w:val="both"/>
        <w:outlineLvl w:val="0"/>
        <w:rPr>
          <w:rFonts w:eastAsia="Calibri" w:cs="Times New Roman"/>
        </w:rPr>
      </w:pPr>
      <w:r w:rsidRPr="0043289D">
        <w:rPr>
          <w:rFonts w:eastAsia="Calibri" w:cs="Times New Roman"/>
        </w:rPr>
        <w:t xml:space="preserve">A continuación, se presenta la conciliación de los flujos de efectivo netos de las actividades de operación y los saldos de resultados del ejercicio </w:t>
      </w:r>
      <w:r>
        <w:rPr>
          <w:rFonts w:eastAsia="Calibri" w:cs="Times New Roman"/>
        </w:rPr>
        <w:t>(</w:t>
      </w:r>
      <w:r w:rsidRPr="0043289D">
        <w:rPr>
          <w:rFonts w:eastAsia="Calibri" w:cs="Times New Roman"/>
        </w:rPr>
        <w:t>ahorro/desahorro</w:t>
      </w:r>
      <w:r>
        <w:rPr>
          <w:rFonts w:eastAsia="Calibri" w:cs="Times New Roman"/>
        </w:rPr>
        <w:t>)</w:t>
      </w:r>
      <w:r w:rsidRPr="0043289D">
        <w:rPr>
          <w:rFonts w:eastAsia="Calibri" w:cs="Times New Roman"/>
        </w:rPr>
        <w:t>:</w:t>
      </w:r>
    </w:p>
    <w:p w14:paraId="3D2ECB7B" w14:textId="77777777" w:rsidR="00B62EBA" w:rsidRPr="0043289D" w:rsidRDefault="00B62EBA" w:rsidP="00B62EBA">
      <w:pPr>
        <w:tabs>
          <w:tab w:val="left" w:pos="6840"/>
        </w:tabs>
        <w:jc w:val="both"/>
        <w:outlineLvl w:val="0"/>
        <w:rPr>
          <w:rFonts w:eastAsia="Calibri" w:cs="Times New Roman"/>
        </w:rPr>
      </w:pPr>
    </w:p>
    <w:p w14:paraId="4740FF5B" w14:textId="77777777" w:rsidR="00B62EBA" w:rsidRPr="0043289D" w:rsidRDefault="00B62EBA" w:rsidP="00B62EBA">
      <w:pPr>
        <w:tabs>
          <w:tab w:val="left" w:pos="6840"/>
        </w:tabs>
        <w:jc w:val="center"/>
        <w:outlineLvl w:val="0"/>
        <w:rPr>
          <w:rFonts w:eastAsia="Calibri" w:cs="Times New Roman"/>
        </w:rPr>
      </w:pPr>
      <w:r w:rsidRPr="00A778F2">
        <w:rPr>
          <w:noProof/>
          <w:lang w:eastAsia="es-MX"/>
        </w:rPr>
        <w:drawing>
          <wp:inline distT="0" distB="0" distL="0" distR="0" wp14:anchorId="7CCEBC4B" wp14:editId="26F43AD1">
            <wp:extent cx="3729600" cy="2045545"/>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9600" cy="2045545"/>
                    </a:xfrm>
                    <a:prstGeom prst="rect">
                      <a:avLst/>
                    </a:prstGeom>
                    <a:noFill/>
                    <a:ln>
                      <a:noFill/>
                    </a:ln>
                  </pic:spPr>
                </pic:pic>
              </a:graphicData>
            </a:graphic>
          </wp:inline>
        </w:drawing>
      </w:r>
    </w:p>
    <w:p w14:paraId="23911F73" w14:textId="77777777" w:rsidR="00B62EBA" w:rsidRDefault="00B62EBA" w:rsidP="00B62EBA">
      <w:pPr>
        <w:rPr>
          <w:rFonts w:eastAsia="Calibri" w:cs="Times New Roman"/>
          <w:b/>
          <w:bCs/>
          <w:caps/>
          <w:u w:val="single"/>
        </w:rPr>
      </w:pPr>
    </w:p>
    <w:p w14:paraId="11704D01" w14:textId="77777777" w:rsidR="00B62EBA" w:rsidRPr="0043289D" w:rsidRDefault="00B62EBA" w:rsidP="00B62EBA">
      <w:pPr>
        <w:rPr>
          <w:rFonts w:eastAsia="Calibri" w:cs="Times New Roman"/>
          <w:b/>
          <w:bCs/>
          <w:caps/>
          <w:u w:val="single"/>
        </w:rPr>
      </w:pPr>
    </w:p>
    <w:p w14:paraId="1C46EB1E"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Conciliación entre los ingresos presupuestarios y contables, así como entre los egresos presupuestarios y los gastos contables</w:t>
      </w:r>
    </w:p>
    <w:p w14:paraId="67B6A9E0" w14:textId="77777777" w:rsidR="00B62EBA" w:rsidRPr="0043289D" w:rsidRDefault="00B62EBA" w:rsidP="00B62EBA">
      <w:pPr>
        <w:jc w:val="both"/>
        <w:rPr>
          <w:rFonts w:eastAsia="Calibri" w:cs="Arial"/>
          <w:b/>
          <w:bCs/>
          <w:szCs w:val="20"/>
          <w:lang w:val="es-ES" w:eastAsia="es-ES"/>
        </w:rPr>
      </w:pPr>
    </w:p>
    <w:p w14:paraId="659FD741" w14:textId="77777777" w:rsidR="00B62EBA" w:rsidRPr="0043289D" w:rsidRDefault="00B62EBA" w:rsidP="00B62EBA">
      <w:pPr>
        <w:jc w:val="both"/>
        <w:rPr>
          <w:rFonts w:eastAsia="Calibri" w:cs="Times New Roman"/>
          <w:szCs w:val="20"/>
          <w:lang w:eastAsia="es-MX"/>
        </w:rPr>
      </w:pPr>
      <w:r w:rsidRPr="0043289D">
        <w:rPr>
          <w:rFonts w:eastAsia="Calibri" w:cs="Times New Roman"/>
          <w:szCs w:val="20"/>
          <w:lang w:eastAsia="es-MX"/>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Judicial, correspondiente del 1 de enero al </w:t>
      </w:r>
      <w:r>
        <w:rPr>
          <w:rFonts w:eastAsia="Calibri" w:cs="Times New Roman"/>
          <w:szCs w:val="20"/>
          <w:lang w:eastAsia="es-MX"/>
        </w:rPr>
        <w:t>31 de marzo de 2024</w:t>
      </w:r>
      <w:r w:rsidRPr="0043289D">
        <w:rPr>
          <w:rFonts w:eastAsia="Calibri" w:cs="Times New Roman"/>
          <w:szCs w:val="20"/>
          <w:lang w:eastAsia="es-MX"/>
        </w:rPr>
        <w:t>.</w:t>
      </w:r>
    </w:p>
    <w:p w14:paraId="4011D37F" w14:textId="77777777" w:rsidR="00B62EBA" w:rsidRPr="0043289D" w:rsidRDefault="00B62EBA" w:rsidP="00B62EBA">
      <w:pPr>
        <w:jc w:val="center"/>
        <w:outlineLvl w:val="0"/>
        <w:rPr>
          <w:rFonts w:eastAsia="Calibri" w:cs="Times New Roman"/>
        </w:rPr>
      </w:pPr>
    </w:p>
    <w:p w14:paraId="06EB84C9" w14:textId="77777777" w:rsidR="00B62EBA" w:rsidRDefault="00B62EBA" w:rsidP="00B62EBA">
      <w:pPr>
        <w:jc w:val="center"/>
        <w:outlineLvl w:val="0"/>
        <w:rPr>
          <w:rFonts w:eastAsia="Calibri" w:cs="Times New Roman"/>
        </w:rPr>
      </w:pPr>
    </w:p>
    <w:p w14:paraId="1451B7BD" w14:textId="77777777" w:rsidR="00B62EBA" w:rsidRPr="0043289D" w:rsidRDefault="00B62EBA" w:rsidP="00B62EBA">
      <w:pPr>
        <w:jc w:val="center"/>
        <w:outlineLvl w:val="0"/>
        <w:rPr>
          <w:rFonts w:eastAsia="Calibri" w:cs="Times New Roman"/>
        </w:rPr>
      </w:pPr>
      <w:r w:rsidRPr="00FD05C4">
        <w:rPr>
          <w:noProof/>
          <w:lang w:eastAsia="es-MX"/>
        </w:rPr>
        <w:lastRenderedPageBreak/>
        <w:drawing>
          <wp:inline distT="0" distB="0" distL="0" distR="0" wp14:anchorId="6FBBAB13" wp14:editId="0D9EF2F0">
            <wp:extent cx="6331585" cy="251236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2512365"/>
                    </a:xfrm>
                    <a:prstGeom prst="rect">
                      <a:avLst/>
                    </a:prstGeom>
                    <a:noFill/>
                    <a:ln>
                      <a:noFill/>
                    </a:ln>
                  </pic:spPr>
                </pic:pic>
              </a:graphicData>
            </a:graphic>
          </wp:inline>
        </w:drawing>
      </w:r>
    </w:p>
    <w:p w14:paraId="1E02814A" w14:textId="07905F31" w:rsidR="00B62EBA" w:rsidRDefault="00B62EBA" w:rsidP="00B62EBA">
      <w:pPr>
        <w:jc w:val="center"/>
        <w:outlineLvl w:val="0"/>
        <w:rPr>
          <w:noProof/>
          <w:lang w:eastAsia="es-MX"/>
        </w:rPr>
      </w:pPr>
    </w:p>
    <w:p w14:paraId="48A094CC" w14:textId="53792036" w:rsidR="00B62EBA" w:rsidRDefault="00B62EBA" w:rsidP="00B62EBA">
      <w:pPr>
        <w:jc w:val="center"/>
        <w:outlineLvl w:val="0"/>
        <w:rPr>
          <w:noProof/>
          <w:lang w:eastAsia="es-MX"/>
        </w:rPr>
      </w:pPr>
    </w:p>
    <w:p w14:paraId="68D5AA1B" w14:textId="77777777" w:rsidR="00B62EBA" w:rsidRDefault="00B62EBA" w:rsidP="00B62EBA">
      <w:pPr>
        <w:jc w:val="center"/>
        <w:outlineLvl w:val="0"/>
        <w:rPr>
          <w:noProof/>
          <w:lang w:eastAsia="es-MX"/>
        </w:rPr>
      </w:pPr>
    </w:p>
    <w:p w14:paraId="6126AD20" w14:textId="77777777" w:rsidR="00B62EBA" w:rsidRPr="0043289D" w:rsidRDefault="00B62EBA" w:rsidP="00B62EBA">
      <w:pPr>
        <w:jc w:val="center"/>
        <w:outlineLvl w:val="0"/>
        <w:rPr>
          <w:rFonts w:eastAsia="Calibri" w:cs="Times New Roman"/>
        </w:rPr>
      </w:pPr>
      <w:r w:rsidRPr="00FD05C4">
        <w:rPr>
          <w:noProof/>
          <w:lang w:eastAsia="es-MX"/>
        </w:rPr>
        <w:drawing>
          <wp:inline distT="0" distB="0" distL="0" distR="0" wp14:anchorId="25DA9E8E" wp14:editId="4F017E5C">
            <wp:extent cx="6331585" cy="439077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4390775"/>
                    </a:xfrm>
                    <a:prstGeom prst="rect">
                      <a:avLst/>
                    </a:prstGeom>
                    <a:noFill/>
                    <a:ln>
                      <a:noFill/>
                    </a:ln>
                  </pic:spPr>
                </pic:pic>
              </a:graphicData>
            </a:graphic>
          </wp:inline>
        </w:drawing>
      </w:r>
    </w:p>
    <w:p w14:paraId="23CC9C23" w14:textId="77777777" w:rsidR="00B62EBA" w:rsidRPr="0043289D" w:rsidRDefault="00B62EBA" w:rsidP="00B62EBA">
      <w:pPr>
        <w:rPr>
          <w:rFonts w:eastAsia="Calibri" w:cs="Times New Roman"/>
          <w:lang w:eastAsia="es-MX"/>
        </w:rPr>
      </w:pPr>
    </w:p>
    <w:p w14:paraId="7B8EB9B0" w14:textId="77777777" w:rsidR="00B62EBA" w:rsidRPr="0043289D" w:rsidRDefault="00B62EBA" w:rsidP="00B62EBA">
      <w:pPr>
        <w:rPr>
          <w:rFonts w:eastAsia="Calibri" w:cs="Times New Roman"/>
          <w:lang w:eastAsia="es-MX"/>
        </w:rPr>
      </w:pPr>
    </w:p>
    <w:p w14:paraId="2D768003" w14:textId="77777777" w:rsidR="00B62EBA" w:rsidRPr="0043289D" w:rsidRDefault="00B62EBA" w:rsidP="00B62EBA">
      <w:pPr>
        <w:jc w:val="both"/>
        <w:rPr>
          <w:rFonts w:eastAsia="Times New Roman" w:cs="Arial"/>
          <w:b/>
          <w:bCs/>
          <w:sz w:val="24"/>
          <w:szCs w:val="24"/>
          <w:lang w:val="es-ES" w:eastAsia="es-ES"/>
        </w:rPr>
      </w:pPr>
      <w:r w:rsidRPr="0043289D">
        <w:rPr>
          <w:rFonts w:eastAsia="Times New Roman" w:cs="Arial"/>
          <w:b/>
          <w:bCs/>
          <w:sz w:val="24"/>
          <w:szCs w:val="24"/>
          <w:lang w:val="es-ES" w:eastAsia="es-ES"/>
        </w:rPr>
        <w:t xml:space="preserve">Notas de memoria (cuentas de orden) </w:t>
      </w:r>
    </w:p>
    <w:p w14:paraId="3619BC4C" w14:textId="77777777" w:rsidR="00B62EBA" w:rsidRPr="0043289D" w:rsidRDefault="00B62EBA" w:rsidP="00B62EBA">
      <w:pPr>
        <w:jc w:val="both"/>
        <w:outlineLvl w:val="0"/>
        <w:rPr>
          <w:rFonts w:eastAsia="Calibri" w:cs="Times New Roman"/>
          <w:b/>
          <w:bCs/>
        </w:rPr>
      </w:pPr>
    </w:p>
    <w:p w14:paraId="145974D9" w14:textId="77777777" w:rsidR="00B62EBA" w:rsidRPr="0043289D" w:rsidRDefault="00B62EBA" w:rsidP="00B62EBA">
      <w:pPr>
        <w:jc w:val="both"/>
        <w:outlineLvl w:val="0"/>
        <w:rPr>
          <w:rFonts w:eastAsia="Calibri" w:cs="Times New Roman"/>
          <w:b/>
          <w:bCs/>
        </w:rPr>
      </w:pPr>
      <w:r w:rsidRPr="0043289D">
        <w:rPr>
          <w:rFonts w:eastAsia="Calibri" w:cs="Times New Roman"/>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40C49F3C" w14:textId="77777777" w:rsidR="00B62EBA" w:rsidRPr="0043289D" w:rsidRDefault="00B62EBA" w:rsidP="00B62EBA">
      <w:pPr>
        <w:jc w:val="both"/>
        <w:rPr>
          <w:rFonts w:eastAsia="Calibri" w:cs="Arial"/>
          <w:b/>
          <w:bCs/>
          <w:caps/>
          <w:szCs w:val="20"/>
          <w:lang w:val="es-ES" w:eastAsia="es-ES"/>
        </w:rPr>
      </w:pPr>
      <w:r w:rsidRPr="0043289D">
        <w:rPr>
          <w:rFonts w:eastAsia="Calibri" w:cs="Arial"/>
          <w:b/>
          <w:bCs/>
          <w:szCs w:val="20"/>
          <w:lang w:val="es-ES" w:eastAsia="es-ES"/>
        </w:rPr>
        <w:lastRenderedPageBreak/>
        <w:t>Cuentas de orden contables</w:t>
      </w:r>
    </w:p>
    <w:p w14:paraId="521D9B16" w14:textId="77777777" w:rsidR="00B62EBA" w:rsidRPr="0043289D" w:rsidRDefault="00B62EBA" w:rsidP="00B62EBA">
      <w:pPr>
        <w:jc w:val="both"/>
        <w:rPr>
          <w:rFonts w:eastAsia="Calibri" w:cs="Arial"/>
          <w:b/>
          <w:bCs/>
          <w:szCs w:val="20"/>
          <w:lang w:val="es-ES" w:eastAsia="es-ES"/>
        </w:rPr>
      </w:pPr>
    </w:p>
    <w:p w14:paraId="54D3701C"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 xml:space="preserve">Avales y garantías </w:t>
      </w:r>
    </w:p>
    <w:p w14:paraId="4E80C933" w14:textId="77777777" w:rsidR="00B62EBA" w:rsidRPr="0043289D" w:rsidRDefault="00B62EBA" w:rsidP="00B62EBA">
      <w:pPr>
        <w:jc w:val="both"/>
        <w:outlineLvl w:val="0"/>
        <w:rPr>
          <w:rFonts w:eastAsia="Calibri" w:cs="Times New Roman"/>
          <w:b/>
          <w:bCs/>
          <w:i/>
          <w:iCs/>
        </w:rPr>
      </w:pPr>
    </w:p>
    <w:p w14:paraId="3DB37A00"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Los avales y garantías derivado de la prestación de servicios que realizan los proveedores al Poder </w:t>
      </w:r>
      <w:r>
        <w:rPr>
          <w:rFonts w:eastAsia="Calibri" w:cs="Times New Roman"/>
        </w:rPr>
        <w:t xml:space="preserve">Judicial, ascienden a $ 83,394,145 </w:t>
      </w:r>
      <w:r w:rsidRPr="0043289D">
        <w:rPr>
          <w:rFonts w:eastAsia="Calibri" w:cs="Times New Roman"/>
        </w:rPr>
        <w:t xml:space="preserve">pesos, al </w:t>
      </w:r>
      <w:r>
        <w:rPr>
          <w:rFonts w:eastAsia="Calibri" w:cs="Times New Roman"/>
        </w:rPr>
        <w:t>31 de marzo del 2024</w:t>
      </w:r>
      <w:r w:rsidRPr="0043289D">
        <w:rPr>
          <w:rFonts w:eastAsia="Calibri" w:cs="Times New Roman"/>
        </w:rPr>
        <w:t>.</w:t>
      </w:r>
    </w:p>
    <w:p w14:paraId="295C2EFD" w14:textId="77777777" w:rsidR="00B62EBA" w:rsidRDefault="00B62EBA" w:rsidP="00B62EBA">
      <w:pPr>
        <w:autoSpaceDE w:val="0"/>
        <w:autoSpaceDN w:val="0"/>
        <w:adjustRightInd w:val="0"/>
        <w:jc w:val="both"/>
        <w:rPr>
          <w:rFonts w:eastAsia="Calibri" w:cs="Times New Roman"/>
        </w:rPr>
      </w:pPr>
    </w:p>
    <w:p w14:paraId="50836358" w14:textId="77777777" w:rsidR="00B62EBA" w:rsidRDefault="00B62EBA" w:rsidP="00B62EBA">
      <w:pPr>
        <w:autoSpaceDE w:val="0"/>
        <w:autoSpaceDN w:val="0"/>
        <w:adjustRightInd w:val="0"/>
        <w:jc w:val="center"/>
        <w:rPr>
          <w:rFonts w:eastAsia="Calibri" w:cs="Times New Roman"/>
        </w:rPr>
      </w:pPr>
      <w:r w:rsidRPr="00FD05C4">
        <w:rPr>
          <w:noProof/>
          <w:lang w:eastAsia="es-MX"/>
        </w:rPr>
        <w:drawing>
          <wp:inline distT="0" distB="0" distL="0" distR="0" wp14:anchorId="075961EC" wp14:editId="0B0E4DB0">
            <wp:extent cx="6331585" cy="1618383"/>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618383"/>
                    </a:xfrm>
                    <a:prstGeom prst="rect">
                      <a:avLst/>
                    </a:prstGeom>
                    <a:noFill/>
                    <a:ln>
                      <a:noFill/>
                    </a:ln>
                  </pic:spPr>
                </pic:pic>
              </a:graphicData>
            </a:graphic>
          </wp:inline>
        </w:drawing>
      </w:r>
    </w:p>
    <w:p w14:paraId="5B871317" w14:textId="67EBBCA0" w:rsidR="00B62EBA" w:rsidRDefault="00B62EBA" w:rsidP="00B62EBA">
      <w:pPr>
        <w:autoSpaceDE w:val="0"/>
        <w:autoSpaceDN w:val="0"/>
        <w:adjustRightInd w:val="0"/>
        <w:jc w:val="both"/>
        <w:rPr>
          <w:rFonts w:eastAsia="Calibri" w:cs="Times New Roman"/>
        </w:rPr>
      </w:pPr>
    </w:p>
    <w:p w14:paraId="59B038C4" w14:textId="77777777" w:rsidR="00B62EBA" w:rsidRPr="0043289D" w:rsidRDefault="00B62EBA" w:rsidP="00B62EBA">
      <w:pPr>
        <w:autoSpaceDE w:val="0"/>
        <w:autoSpaceDN w:val="0"/>
        <w:adjustRightInd w:val="0"/>
        <w:jc w:val="both"/>
        <w:rPr>
          <w:rFonts w:eastAsia="Calibri" w:cs="Times New Roman"/>
        </w:rPr>
      </w:pPr>
    </w:p>
    <w:p w14:paraId="67F43750"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 xml:space="preserve">Bienes en concesionados o en comodato </w:t>
      </w:r>
    </w:p>
    <w:p w14:paraId="1EFAEFBA" w14:textId="77777777" w:rsidR="00B62EBA" w:rsidRPr="0043289D" w:rsidRDefault="00B62EBA" w:rsidP="00B62EBA">
      <w:pPr>
        <w:jc w:val="both"/>
        <w:outlineLvl w:val="0"/>
        <w:rPr>
          <w:rFonts w:eastAsia="Calibri" w:cs="Times New Roman"/>
          <w:b/>
          <w:bCs/>
          <w:i/>
          <w:iCs/>
        </w:rPr>
      </w:pPr>
    </w:p>
    <w:p w14:paraId="1BCB691F"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Los bienes en concesionados o en comodato</w:t>
      </w:r>
      <w:r>
        <w:rPr>
          <w:rFonts w:eastAsia="Calibri" w:cs="Times New Roman"/>
        </w:rPr>
        <w:t xml:space="preserve"> ascienden a $ 637,990 pesos al 31 de marzo de 2024 y</w:t>
      </w:r>
      <w:r w:rsidRPr="0043289D">
        <w:rPr>
          <w:rFonts w:eastAsia="Calibri" w:cs="Times New Roman"/>
        </w:rPr>
        <w:t xml:space="preserve"> representan los bienes muebles otorgados entre dependencias o entes públicos tales como vehículos y equipo de transporte del Poder Judicial.</w:t>
      </w:r>
    </w:p>
    <w:p w14:paraId="658C86BA" w14:textId="77777777" w:rsidR="00B62EBA" w:rsidRPr="0043289D" w:rsidRDefault="00B62EBA" w:rsidP="00B62EBA">
      <w:pPr>
        <w:autoSpaceDE w:val="0"/>
        <w:autoSpaceDN w:val="0"/>
        <w:adjustRightInd w:val="0"/>
        <w:jc w:val="both"/>
        <w:rPr>
          <w:rFonts w:eastAsia="Calibri" w:cs="Times New Roman"/>
        </w:rPr>
      </w:pPr>
    </w:p>
    <w:p w14:paraId="5B197DD0" w14:textId="77777777" w:rsidR="00B62EBA" w:rsidRPr="0043289D" w:rsidRDefault="00B62EBA" w:rsidP="00B62EBA">
      <w:pPr>
        <w:autoSpaceDE w:val="0"/>
        <w:autoSpaceDN w:val="0"/>
        <w:adjustRightInd w:val="0"/>
        <w:jc w:val="center"/>
        <w:rPr>
          <w:rFonts w:eastAsia="Calibri" w:cs="Times New Roman"/>
        </w:rPr>
      </w:pPr>
      <w:r w:rsidRPr="00FD05C4">
        <w:rPr>
          <w:noProof/>
          <w:lang w:eastAsia="es-MX"/>
        </w:rPr>
        <w:drawing>
          <wp:inline distT="0" distB="0" distL="0" distR="0" wp14:anchorId="3EC72032" wp14:editId="782AEE09">
            <wp:extent cx="6331585" cy="16183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618383"/>
                    </a:xfrm>
                    <a:prstGeom prst="rect">
                      <a:avLst/>
                    </a:prstGeom>
                    <a:noFill/>
                    <a:ln>
                      <a:noFill/>
                    </a:ln>
                  </pic:spPr>
                </pic:pic>
              </a:graphicData>
            </a:graphic>
          </wp:inline>
        </w:drawing>
      </w:r>
    </w:p>
    <w:p w14:paraId="7BFC7225" w14:textId="77777777" w:rsidR="00B62EBA" w:rsidRPr="0043289D" w:rsidRDefault="00B62EBA" w:rsidP="00B62EBA">
      <w:pPr>
        <w:autoSpaceDE w:val="0"/>
        <w:autoSpaceDN w:val="0"/>
        <w:adjustRightInd w:val="0"/>
        <w:jc w:val="both"/>
        <w:rPr>
          <w:rFonts w:eastAsia="Calibri" w:cs="Times New Roman"/>
        </w:rPr>
      </w:pPr>
    </w:p>
    <w:p w14:paraId="1EB3F0A0" w14:textId="77777777" w:rsidR="00B62EBA" w:rsidRPr="0043289D" w:rsidRDefault="00B62EBA" w:rsidP="00B62EBA">
      <w:pPr>
        <w:autoSpaceDE w:val="0"/>
        <w:autoSpaceDN w:val="0"/>
        <w:adjustRightInd w:val="0"/>
        <w:jc w:val="both"/>
        <w:rPr>
          <w:rFonts w:eastAsia="Calibri" w:cs="Times New Roman"/>
        </w:rPr>
      </w:pPr>
    </w:p>
    <w:p w14:paraId="7822F546"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Cuentas de orden presupuestarias</w:t>
      </w:r>
    </w:p>
    <w:p w14:paraId="702885BF" w14:textId="77777777" w:rsidR="00B62EBA" w:rsidRPr="0043289D" w:rsidRDefault="00B62EBA" w:rsidP="00B62EBA">
      <w:pPr>
        <w:jc w:val="both"/>
        <w:rPr>
          <w:rFonts w:eastAsia="Calibri" w:cs="Arial"/>
          <w:b/>
          <w:bCs/>
          <w:szCs w:val="20"/>
          <w:lang w:val="es-ES" w:eastAsia="es-ES"/>
        </w:rPr>
      </w:pPr>
    </w:p>
    <w:p w14:paraId="5D9FF263"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Cuentas de ingresos</w:t>
      </w:r>
    </w:p>
    <w:p w14:paraId="5C229F7F" w14:textId="77777777" w:rsidR="00B62EBA" w:rsidRPr="0043289D" w:rsidRDefault="00B62EBA" w:rsidP="00B62EBA">
      <w:pPr>
        <w:autoSpaceDE w:val="0"/>
        <w:autoSpaceDN w:val="0"/>
        <w:adjustRightInd w:val="0"/>
        <w:jc w:val="both"/>
        <w:rPr>
          <w:rFonts w:eastAsia="Calibri" w:cs="Times New Roman"/>
          <w:b/>
          <w:i/>
        </w:rPr>
      </w:pPr>
    </w:p>
    <w:p w14:paraId="374DBBAE" w14:textId="77777777" w:rsidR="00B62EBA" w:rsidRPr="0043289D" w:rsidRDefault="00B62EBA" w:rsidP="00B62EBA">
      <w:pPr>
        <w:autoSpaceDE w:val="0"/>
        <w:autoSpaceDN w:val="0"/>
        <w:adjustRightInd w:val="0"/>
        <w:jc w:val="both"/>
        <w:rPr>
          <w:rFonts w:eastAsia="Calibri" w:cs="Times New Roman"/>
        </w:rPr>
      </w:pPr>
      <w:r>
        <w:rPr>
          <w:rFonts w:eastAsia="Calibri" w:cs="Times New Roman"/>
        </w:rPr>
        <w:t>Al inicio del ejercicio 2024</w:t>
      </w:r>
      <w:r w:rsidRPr="0043289D">
        <w:rPr>
          <w:rFonts w:eastAsia="Calibri" w:cs="Times New Roman"/>
        </w:rPr>
        <w:t xml:space="preserve">, se aprobó un presupuesto de ingresos de </w:t>
      </w:r>
      <w:r>
        <w:rPr>
          <w:rFonts w:eastAsia="Calibri" w:cs="Times New Roman"/>
        </w:rPr>
        <w:t xml:space="preserve">$ 1,257,586,100 </w:t>
      </w:r>
      <w:r w:rsidRPr="0043289D">
        <w:rPr>
          <w:rFonts w:eastAsia="Calibri" w:cs="Times New Roman"/>
        </w:rPr>
        <w:t>pesos, sin embargo, las estrategias implementadas para obtener mayores recurs</w:t>
      </w:r>
      <w:r>
        <w:rPr>
          <w:rFonts w:eastAsia="Calibri" w:cs="Times New Roman"/>
        </w:rPr>
        <w:t>os, lograron un incremento de $ 33,305,540</w:t>
      </w:r>
      <w:r w:rsidRPr="0043289D">
        <w:rPr>
          <w:rFonts w:eastAsia="Calibri" w:cs="Times New Roman"/>
        </w:rPr>
        <w:t xml:space="preserve"> pesos al presupuesto estimado para el periodo que se informa.</w:t>
      </w:r>
    </w:p>
    <w:p w14:paraId="3C25D54F" w14:textId="77777777" w:rsidR="00B62EBA" w:rsidRPr="0043289D" w:rsidRDefault="00B62EBA" w:rsidP="00B62EBA">
      <w:pPr>
        <w:autoSpaceDE w:val="0"/>
        <w:autoSpaceDN w:val="0"/>
        <w:adjustRightInd w:val="0"/>
        <w:jc w:val="both"/>
        <w:rPr>
          <w:rFonts w:eastAsia="Calibri" w:cs="Times New Roman"/>
        </w:rPr>
      </w:pPr>
    </w:p>
    <w:p w14:paraId="1274FC09"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Los ingresos recaudados durante el periodo del 1 de enero al </w:t>
      </w:r>
      <w:r>
        <w:rPr>
          <w:rFonts w:eastAsia="Calibri" w:cs="Times New Roman"/>
        </w:rPr>
        <w:t>31 de marzo de 2024</w:t>
      </w:r>
      <w:r w:rsidRPr="0043289D">
        <w:rPr>
          <w:rFonts w:eastAsia="Calibri" w:cs="Times New Roman"/>
        </w:rPr>
        <w:t xml:space="preserve"> ascendieron a la cantidad de </w:t>
      </w:r>
      <w:r>
        <w:rPr>
          <w:rFonts w:eastAsia="Calibri" w:cs="Times New Roman"/>
        </w:rPr>
        <w:t xml:space="preserve">$ 262,347,518 </w:t>
      </w:r>
      <w:r w:rsidRPr="0043289D">
        <w:rPr>
          <w:rFonts w:eastAsia="Calibri" w:cs="Times New Roman"/>
        </w:rPr>
        <w:t xml:space="preserve">pesos, </w:t>
      </w:r>
      <w:r>
        <w:rPr>
          <w:rFonts w:eastAsia="Calibri" w:cs="Times New Roman"/>
        </w:rPr>
        <w:t>representando un avance del 20.9</w:t>
      </w:r>
      <w:r w:rsidRPr="0043289D">
        <w:rPr>
          <w:rFonts w:eastAsia="Calibri" w:cs="Times New Roman"/>
        </w:rPr>
        <w:t xml:space="preserve"> %, respecto al programado para el periodo que se informa. </w:t>
      </w:r>
    </w:p>
    <w:p w14:paraId="2CF5B1EC" w14:textId="77777777" w:rsidR="00B62EBA" w:rsidRPr="0043289D" w:rsidRDefault="00B62EBA" w:rsidP="00B62EBA">
      <w:pPr>
        <w:autoSpaceDE w:val="0"/>
        <w:autoSpaceDN w:val="0"/>
        <w:adjustRightInd w:val="0"/>
        <w:jc w:val="both"/>
        <w:rPr>
          <w:rFonts w:eastAsia="Calibri" w:cs="Times New Roman"/>
        </w:rPr>
      </w:pPr>
    </w:p>
    <w:p w14:paraId="68B77D9A"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Los ingresos derivados de recursos provenientes del Gobierno Federal representaron el 100 % del total de los ingresos recaudados, con u</w:t>
      </w:r>
      <w:r>
        <w:rPr>
          <w:rFonts w:eastAsia="Calibri" w:cs="Times New Roman"/>
        </w:rPr>
        <w:t xml:space="preserve">n importe de $ 262,347,518 pesos, </w:t>
      </w:r>
      <w:r w:rsidRPr="0043289D">
        <w:rPr>
          <w:rFonts w:eastAsia="Calibri" w:cs="Times New Roman"/>
        </w:rPr>
        <w:t>por concepto de transferencias, asignaciones, subsidios y subvencio</w:t>
      </w:r>
      <w:r>
        <w:rPr>
          <w:rFonts w:eastAsia="Calibri" w:cs="Times New Roman"/>
        </w:rPr>
        <w:t>nes, y pensiones y jubilaciones.</w:t>
      </w:r>
    </w:p>
    <w:p w14:paraId="625A791A" w14:textId="77777777" w:rsidR="00B62EBA" w:rsidRPr="0043289D" w:rsidRDefault="00B62EBA" w:rsidP="00B62EBA">
      <w:pPr>
        <w:autoSpaceDE w:val="0"/>
        <w:autoSpaceDN w:val="0"/>
        <w:adjustRightInd w:val="0"/>
        <w:jc w:val="both"/>
        <w:rPr>
          <w:rFonts w:eastAsia="Calibri" w:cs="Times New Roman"/>
        </w:rPr>
      </w:pPr>
    </w:p>
    <w:p w14:paraId="43E4B376" w14:textId="77777777" w:rsidR="00B62EBA" w:rsidRPr="0043289D" w:rsidRDefault="00B62EBA" w:rsidP="00B62EBA">
      <w:pPr>
        <w:autoSpaceDE w:val="0"/>
        <w:autoSpaceDN w:val="0"/>
        <w:adjustRightInd w:val="0"/>
        <w:jc w:val="both"/>
        <w:rPr>
          <w:rFonts w:eastAsia="Calibri" w:cs="Times New Roman"/>
        </w:rPr>
      </w:pPr>
      <w:r w:rsidRPr="0043289D">
        <w:rPr>
          <w:rFonts w:eastAsia="Calibri" w:cs="Times New Roman"/>
        </w:rPr>
        <w:t xml:space="preserve">A continuación, se presenta el estado analítico de ingresos presupuestales de acuerdo con la clasificación indicada en las notas de memoria de los estados financieros emitidos por el </w:t>
      </w:r>
      <w:r w:rsidRPr="0043289D">
        <w:rPr>
          <w:rFonts w:eastAsia="Calibri" w:cs="Arial"/>
          <w:szCs w:val="20"/>
        </w:rPr>
        <w:t>Consejo Nacional de Armonización Contable</w:t>
      </w:r>
      <w:r w:rsidRPr="0043289D">
        <w:rPr>
          <w:rFonts w:eastAsia="Calibri" w:cs="Times New Roman"/>
        </w:rPr>
        <w:t xml:space="preserve"> (CONAC).</w:t>
      </w:r>
    </w:p>
    <w:p w14:paraId="37C5879D" w14:textId="77777777" w:rsidR="00B62EBA" w:rsidRPr="0043289D" w:rsidRDefault="00B62EBA" w:rsidP="00B62EBA">
      <w:pPr>
        <w:autoSpaceDE w:val="0"/>
        <w:autoSpaceDN w:val="0"/>
        <w:adjustRightInd w:val="0"/>
        <w:jc w:val="both"/>
        <w:rPr>
          <w:rFonts w:eastAsia="Calibri" w:cs="Times New Roman"/>
        </w:rPr>
      </w:pPr>
    </w:p>
    <w:p w14:paraId="2FF07265" w14:textId="77777777" w:rsidR="00B62EBA" w:rsidRPr="0043289D" w:rsidRDefault="00B62EBA" w:rsidP="00B62EBA">
      <w:pPr>
        <w:jc w:val="center"/>
        <w:outlineLvl w:val="0"/>
        <w:rPr>
          <w:rFonts w:eastAsia="Calibri" w:cs="Times New Roman"/>
        </w:rPr>
      </w:pPr>
      <w:r w:rsidRPr="000C63A1">
        <w:rPr>
          <w:noProof/>
          <w:lang w:eastAsia="es-MX"/>
        </w:rPr>
        <w:lastRenderedPageBreak/>
        <w:drawing>
          <wp:inline distT="0" distB="0" distL="0" distR="0" wp14:anchorId="21FAC13D" wp14:editId="2BD3FF47">
            <wp:extent cx="6331585" cy="233248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332480"/>
                    </a:xfrm>
                    <a:prstGeom prst="rect">
                      <a:avLst/>
                    </a:prstGeom>
                    <a:noFill/>
                    <a:ln>
                      <a:noFill/>
                    </a:ln>
                  </pic:spPr>
                </pic:pic>
              </a:graphicData>
            </a:graphic>
          </wp:inline>
        </w:drawing>
      </w:r>
    </w:p>
    <w:p w14:paraId="366156CC" w14:textId="587E8D98" w:rsidR="00B62EBA" w:rsidRDefault="00B62EBA" w:rsidP="00B62EBA">
      <w:pPr>
        <w:jc w:val="both"/>
        <w:outlineLvl w:val="0"/>
        <w:rPr>
          <w:rFonts w:eastAsia="Calibri" w:cs="Times New Roman"/>
          <w:b/>
          <w:bCs/>
          <w:i/>
          <w:iCs/>
        </w:rPr>
      </w:pPr>
    </w:p>
    <w:p w14:paraId="0A0AEA9F" w14:textId="77777777" w:rsidR="00B62EBA" w:rsidRPr="0043289D" w:rsidRDefault="00B62EBA" w:rsidP="00B62EBA">
      <w:pPr>
        <w:jc w:val="both"/>
        <w:outlineLvl w:val="0"/>
        <w:rPr>
          <w:rFonts w:eastAsia="Calibri" w:cs="Times New Roman"/>
          <w:b/>
          <w:bCs/>
          <w:i/>
          <w:iCs/>
        </w:rPr>
      </w:pPr>
    </w:p>
    <w:p w14:paraId="4F4B9C3C" w14:textId="77777777" w:rsidR="00B62EBA" w:rsidRPr="0043289D" w:rsidRDefault="00B62EBA" w:rsidP="00B62EBA">
      <w:pPr>
        <w:jc w:val="both"/>
        <w:rPr>
          <w:rFonts w:eastAsia="Calibri" w:cs="Arial"/>
          <w:b/>
          <w:bCs/>
          <w:szCs w:val="20"/>
          <w:lang w:val="es-ES" w:eastAsia="es-ES"/>
        </w:rPr>
      </w:pPr>
      <w:r w:rsidRPr="0043289D">
        <w:rPr>
          <w:rFonts w:eastAsia="Calibri" w:cs="Arial"/>
          <w:b/>
          <w:bCs/>
          <w:szCs w:val="20"/>
          <w:lang w:val="es-ES" w:eastAsia="es-ES"/>
        </w:rPr>
        <w:t>Cuentas de egresos</w:t>
      </w:r>
    </w:p>
    <w:p w14:paraId="22B5989E" w14:textId="77777777" w:rsidR="00B62EBA" w:rsidRPr="0043289D" w:rsidRDefault="00B62EBA" w:rsidP="00B62EBA">
      <w:pPr>
        <w:jc w:val="both"/>
        <w:outlineLvl w:val="0"/>
        <w:rPr>
          <w:rFonts w:eastAsia="Calibri" w:cs="Times New Roman"/>
        </w:rPr>
      </w:pPr>
    </w:p>
    <w:p w14:paraId="2BACB1AD" w14:textId="77777777" w:rsidR="00B62EBA" w:rsidRPr="0043289D" w:rsidRDefault="00B62EBA" w:rsidP="00B62EBA">
      <w:pPr>
        <w:jc w:val="both"/>
        <w:outlineLvl w:val="0"/>
        <w:rPr>
          <w:rFonts w:eastAsia="Calibri" w:cs="Times New Roman"/>
        </w:rPr>
      </w:pPr>
      <w:r w:rsidRPr="0043289D">
        <w:rPr>
          <w:rFonts w:eastAsia="Calibri" w:cs="Times New Roman"/>
        </w:rPr>
        <w:t xml:space="preserve">El estado del ejercicio del presupuesto de egresos del Poder Judicial del estado de Chiapas, refleja al </w:t>
      </w:r>
      <w:r>
        <w:rPr>
          <w:rFonts w:eastAsia="Calibri" w:cs="Times New Roman"/>
        </w:rPr>
        <w:t>31 de marzo del ejercicio 2024</w:t>
      </w:r>
      <w:r w:rsidRPr="0043289D">
        <w:rPr>
          <w:rFonts w:eastAsia="Calibri" w:cs="Times New Roman"/>
        </w:rPr>
        <w:t>, una modificación neta positiva al</w:t>
      </w:r>
      <w:r>
        <w:rPr>
          <w:rFonts w:eastAsia="Calibri" w:cs="Times New Roman"/>
        </w:rPr>
        <w:t xml:space="preserve"> presupuesto aprobado anual de $ 33,599,165 pesos representando el 2.7</w:t>
      </w:r>
      <w:r w:rsidRPr="0043289D">
        <w:rPr>
          <w:rFonts w:eastAsia="Calibri" w:cs="Times New Roman"/>
        </w:rPr>
        <w:t xml:space="preserve"> % mayor, respecto al programado,</w:t>
      </w:r>
      <w:r>
        <w:rPr>
          <w:rFonts w:eastAsia="Calibri" w:cs="Times New Roman"/>
        </w:rPr>
        <w:t xml:space="preserve"> llegando a un monto de $ 1,291,185,265</w:t>
      </w:r>
      <w:r w:rsidRPr="0043289D">
        <w:rPr>
          <w:rFonts w:eastAsia="Calibri" w:cs="Times New Roman"/>
        </w:rPr>
        <w:t xml:space="preserve"> pesos.</w:t>
      </w:r>
    </w:p>
    <w:p w14:paraId="1B29103E" w14:textId="77777777" w:rsidR="00B62EBA" w:rsidRPr="0043289D" w:rsidRDefault="00B62EBA" w:rsidP="00B62EBA">
      <w:pPr>
        <w:jc w:val="both"/>
        <w:outlineLvl w:val="0"/>
        <w:rPr>
          <w:rFonts w:eastAsia="Calibri" w:cs="Times New Roman"/>
        </w:rPr>
      </w:pPr>
    </w:p>
    <w:p w14:paraId="1160DE90" w14:textId="77777777" w:rsidR="00B62EBA" w:rsidRPr="0043289D" w:rsidRDefault="00B62EBA" w:rsidP="00B62EBA">
      <w:pPr>
        <w:jc w:val="both"/>
        <w:outlineLvl w:val="0"/>
        <w:rPr>
          <w:rFonts w:eastAsia="Calibri" w:cs="Times New Roman"/>
        </w:rPr>
      </w:pPr>
      <w:r w:rsidRPr="0043289D">
        <w:rPr>
          <w:rFonts w:eastAsia="Calibri" w:cs="Times New Roman"/>
        </w:rPr>
        <w:t xml:space="preserve">El presupuesto devengado a la fecha que se informa fue de </w:t>
      </w:r>
      <w:r>
        <w:rPr>
          <w:rFonts w:eastAsia="Calibri" w:cs="Times New Roman"/>
        </w:rPr>
        <w:t>$ 241,089,878</w:t>
      </w:r>
      <w:r w:rsidRPr="0043289D">
        <w:rPr>
          <w:rFonts w:eastAsia="Calibri" w:cs="Times New Roman"/>
        </w:rPr>
        <w:t xml:space="preserve"> pesos</w:t>
      </w:r>
      <w:r>
        <w:rPr>
          <w:rFonts w:eastAsia="Calibri" w:cs="Times New Roman"/>
        </w:rPr>
        <w:t xml:space="preserve">, de los cuales se </w:t>
      </w:r>
      <w:proofErr w:type="gramStart"/>
      <w:r>
        <w:rPr>
          <w:rFonts w:eastAsia="Calibri" w:cs="Times New Roman"/>
        </w:rPr>
        <w:t>aplicaron  $</w:t>
      </w:r>
      <w:proofErr w:type="gramEnd"/>
      <w:r>
        <w:rPr>
          <w:rFonts w:eastAsia="Calibri" w:cs="Times New Roman"/>
        </w:rPr>
        <w:t xml:space="preserve"> 217,289,001 </w:t>
      </w:r>
      <w:r w:rsidRPr="0043289D">
        <w:rPr>
          <w:rFonts w:eastAsia="Calibri" w:cs="Times New Roman"/>
        </w:rPr>
        <w:t>pesos a servici</w:t>
      </w:r>
      <w:r>
        <w:rPr>
          <w:rFonts w:eastAsia="Calibri" w:cs="Times New Roman"/>
        </w:rPr>
        <w:t>os personales, equivalente al 90.1</w:t>
      </w:r>
      <w:r w:rsidRPr="0043289D">
        <w:rPr>
          <w:rFonts w:eastAsia="Calibri" w:cs="Times New Roman"/>
        </w:rPr>
        <w:t xml:space="preserve"> % del devengado total; en serv</w:t>
      </w:r>
      <w:r>
        <w:rPr>
          <w:rFonts w:eastAsia="Calibri" w:cs="Times New Roman"/>
        </w:rPr>
        <w:t>icios generales, se destinaron $ 22,543,332 pesos, que equivale al 9.3</w:t>
      </w:r>
      <w:r w:rsidRPr="0043289D">
        <w:rPr>
          <w:rFonts w:eastAsia="Calibri" w:cs="Times New Roman"/>
        </w:rPr>
        <w:t xml:space="preserve"> % del total devengado;</w:t>
      </w:r>
      <w:r>
        <w:rPr>
          <w:rFonts w:eastAsia="Calibri" w:cs="Times New Roman"/>
        </w:rPr>
        <w:t xml:space="preserve"> así mismo </w:t>
      </w:r>
      <w:r w:rsidRPr="0043289D">
        <w:rPr>
          <w:rFonts w:eastAsia="Calibri" w:cs="Times New Roman"/>
        </w:rPr>
        <w:t>en material</w:t>
      </w:r>
      <w:r>
        <w:rPr>
          <w:rFonts w:eastAsia="Calibri" w:cs="Times New Roman"/>
        </w:rPr>
        <w:t xml:space="preserve">es y suministros se destinaron $ 1,243,526 </w:t>
      </w:r>
      <w:r w:rsidRPr="0043289D">
        <w:rPr>
          <w:rFonts w:eastAsia="Calibri" w:cs="Times New Roman"/>
        </w:rPr>
        <w:t xml:space="preserve">pesos equivalente al </w:t>
      </w:r>
      <w:r>
        <w:rPr>
          <w:rFonts w:eastAsia="Calibri" w:cs="Times New Roman"/>
        </w:rPr>
        <w:t>0.5</w:t>
      </w:r>
      <w:r w:rsidRPr="0043289D">
        <w:rPr>
          <w:rFonts w:eastAsia="Calibri" w:cs="Times New Roman"/>
        </w:rPr>
        <w:t xml:space="preserve"> % del devengo total</w:t>
      </w:r>
      <w:r>
        <w:rPr>
          <w:rFonts w:eastAsia="Calibri" w:cs="Times New Roman"/>
        </w:rPr>
        <w:t>;</w:t>
      </w:r>
      <w:r w:rsidRPr="0043289D">
        <w:rPr>
          <w:rFonts w:eastAsia="Calibri" w:cs="Times New Roman"/>
        </w:rPr>
        <w:t xml:space="preserve"> entre los rubros más sobresalientes.</w:t>
      </w:r>
    </w:p>
    <w:p w14:paraId="4C46EB17" w14:textId="77777777" w:rsidR="00B62EBA" w:rsidRPr="0043289D" w:rsidRDefault="00B62EBA" w:rsidP="00B62EBA">
      <w:pPr>
        <w:jc w:val="both"/>
        <w:outlineLvl w:val="0"/>
        <w:rPr>
          <w:rFonts w:eastAsia="Calibri" w:cs="Times New Roman"/>
        </w:rPr>
      </w:pPr>
    </w:p>
    <w:p w14:paraId="57B5B4B6" w14:textId="77777777" w:rsidR="00B62EBA" w:rsidRPr="0043289D" w:rsidRDefault="00B62EBA" w:rsidP="00B62EBA">
      <w:pPr>
        <w:jc w:val="center"/>
        <w:outlineLvl w:val="0"/>
        <w:rPr>
          <w:rFonts w:eastAsia="Calibri" w:cs="Times New Roman"/>
        </w:rPr>
      </w:pPr>
      <w:r w:rsidRPr="00206D10">
        <w:rPr>
          <w:noProof/>
          <w:lang w:eastAsia="es-MX"/>
        </w:rPr>
        <w:drawing>
          <wp:inline distT="0" distB="0" distL="0" distR="0" wp14:anchorId="7EF51085" wp14:editId="1A87B455">
            <wp:extent cx="6331585" cy="2607689"/>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607689"/>
                    </a:xfrm>
                    <a:prstGeom prst="rect">
                      <a:avLst/>
                    </a:prstGeom>
                    <a:noFill/>
                    <a:ln>
                      <a:noFill/>
                    </a:ln>
                  </pic:spPr>
                </pic:pic>
              </a:graphicData>
            </a:graphic>
          </wp:inline>
        </w:drawing>
      </w:r>
    </w:p>
    <w:p w14:paraId="70E27E69" w14:textId="77777777" w:rsidR="00B62EBA" w:rsidRPr="0043289D" w:rsidRDefault="00B62EBA" w:rsidP="00B62EBA">
      <w:pPr>
        <w:outlineLvl w:val="0"/>
        <w:rPr>
          <w:rFonts w:eastAsia="Calibri" w:cs="Times New Roman"/>
        </w:rPr>
      </w:pPr>
    </w:p>
    <w:p w14:paraId="3C18693F" w14:textId="77777777" w:rsidR="00B62EBA" w:rsidRPr="0043289D" w:rsidRDefault="00B62EBA" w:rsidP="00B62EBA">
      <w:pPr>
        <w:spacing w:after="160" w:line="259" w:lineRule="auto"/>
        <w:rPr>
          <w:rFonts w:eastAsia="Calibri" w:cs="Times New Roman"/>
        </w:rPr>
      </w:pPr>
      <w:r w:rsidRPr="0043289D">
        <w:rPr>
          <w:rFonts w:eastAsia="Calibri" w:cs="Times New Roman"/>
        </w:rPr>
        <w:br w:type="page"/>
      </w:r>
    </w:p>
    <w:p w14:paraId="0F8A6D55" w14:textId="77777777" w:rsidR="00B62EBA" w:rsidRPr="0043289D" w:rsidRDefault="00B62EBA" w:rsidP="00B62EBA">
      <w:pPr>
        <w:jc w:val="both"/>
        <w:rPr>
          <w:rFonts w:eastAsia="Calibri" w:cs="Arial"/>
          <w:b/>
          <w:bCs/>
          <w:iCs/>
          <w:szCs w:val="20"/>
          <w:lang w:val="es-ES" w:eastAsia="es-ES"/>
        </w:rPr>
      </w:pPr>
      <w:bookmarkStart w:id="6" w:name="_Hlk125467774"/>
      <w:r w:rsidRPr="0043289D">
        <w:rPr>
          <w:rFonts w:eastAsia="Calibri" w:cs="Arial"/>
          <w:b/>
          <w:bCs/>
          <w:szCs w:val="20"/>
          <w:lang w:val="es-ES" w:eastAsia="es-ES"/>
        </w:rPr>
        <w:lastRenderedPageBreak/>
        <w:t>Razones financieras</w:t>
      </w:r>
    </w:p>
    <w:p w14:paraId="4C910861" w14:textId="77777777" w:rsidR="00B62EBA" w:rsidRPr="0043289D" w:rsidRDefault="00B62EBA" w:rsidP="00B62EBA">
      <w:pPr>
        <w:tabs>
          <w:tab w:val="left" w:pos="5280"/>
        </w:tabs>
        <w:jc w:val="both"/>
        <w:rPr>
          <w:rFonts w:eastAsia="Calibri" w:cs="Arial"/>
          <w:szCs w:val="20"/>
        </w:rPr>
      </w:pPr>
    </w:p>
    <w:bookmarkEnd w:id="6"/>
    <w:p w14:paraId="72FB5B69" w14:textId="77777777" w:rsidR="00B62EBA" w:rsidRPr="0043289D" w:rsidRDefault="00B62EBA" w:rsidP="00B62EBA">
      <w:pPr>
        <w:jc w:val="both"/>
        <w:rPr>
          <w:rFonts w:eastAsia="Calibri" w:cs="Times New Roman"/>
        </w:rPr>
      </w:pPr>
      <w:r w:rsidRPr="0043289D">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2FEEB3BF" w14:textId="77777777" w:rsidR="00B62EBA" w:rsidRPr="0043289D" w:rsidRDefault="00B62EBA" w:rsidP="00B62EBA">
      <w:pPr>
        <w:tabs>
          <w:tab w:val="left" w:pos="5280"/>
        </w:tabs>
        <w:jc w:val="both"/>
        <w:rPr>
          <w:rFonts w:eastAsia="Calibri" w:cs="Times New Roman"/>
        </w:rPr>
      </w:pPr>
    </w:p>
    <w:p w14:paraId="73726FBD" w14:textId="77777777" w:rsidR="00B62EBA" w:rsidRPr="0043289D" w:rsidRDefault="00B62EBA" w:rsidP="00B62EBA">
      <w:pPr>
        <w:tabs>
          <w:tab w:val="left" w:pos="5280"/>
        </w:tabs>
        <w:jc w:val="both"/>
        <w:rPr>
          <w:rFonts w:eastAsia="Calibri" w:cs="Times New Roman"/>
        </w:rPr>
      </w:pPr>
      <w:r w:rsidRPr="0043289D">
        <w:rPr>
          <w:rFonts w:eastAsia="Calibri" w:cs="Times New Roman"/>
        </w:rPr>
        <w:t xml:space="preserve">A los resultados obtenidos al </w:t>
      </w:r>
      <w:r>
        <w:rPr>
          <w:rFonts w:eastAsia="Calibri" w:cs="Times New Roman"/>
        </w:rPr>
        <w:t>31 de marzo del 2024</w:t>
      </w:r>
      <w:r w:rsidRPr="0043289D">
        <w:rPr>
          <w:rFonts w:eastAsia="Calibri" w:cs="Times New Roman"/>
        </w:rPr>
        <w:t>, se aplicaron las siguientes razones financieras:</w:t>
      </w:r>
    </w:p>
    <w:p w14:paraId="08359F33" w14:textId="77777777" w:rsidR="00B62EBA" w:rsidRPr="0043289D" w:rsidRDefault="00B62EBA" w:rsidP="00B62EBA">
      <w:pPr>
        <w:tabs>
          <w:tab w:val="left" w:pos="5280"/>
        </w:tabs>
        <w:jc w:val="both"/>
        <w:rPr>
          <w:rFonts w:eastAsia="Calibri" w:cs="Times New Roman"/>
        </w:rPr>
      </w:pPr>
    </w:p>
    <w:p w14:paraId="0C290C9F" w14:textId="52D32DB0" w:rsidR="00B62EBA" w:rsidRPr="0043289D" w:rsidRDefault="00B62EBA" w:rsidP="00B62EBA">
      <w:pPr>
        <w:tabs>
          <w:tab w:val="left" w:pos="5729"/>
        </w:tabs>
        <w:jc w:val="center"/>
        <w:rPr>
          <w:rFonts w:eastAsia="Calibri" w:cs="Times New Roman"/>
        </w:rPr>
      </w:pPr>
      <w:r w:rsidRPr="00B62EBA">
        <w:drawing>
          <wp:inline distT="0" distB="0" distL="0" distR="0" wp14:anchorId="3F95383D" wp14:editId="51FC9C86">
            <wp:extent cx="6691630" cy="24968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496820"/>
                    </a:xfrm>
                    <a:prstGeom prst="rect">
                      <a:avLst/>
                    </a:prstGeom>
                    <a:noFill/>
                    <a:ln>
                      <a:noFill/>
                    </a:ln>
                  </pic:spPr>
                </pic:pic>
              </a:graphicData>
            </a:graphic>
          </wp:inline>
        </w:drawing>
      </w:r>
    </w:p>
    <w:p w14:paraId="1DD5DFDE" w14:textId="77777777" w:rsidR="00B62EBA" w:rsidRPr="0043289D" w:rsidRDefault="00B62EBA" w:rsidP="00B62EBA">
      <w:pPr>
        <w:tabs>
          <w:tab w:val="left" w:pos="5280"/>
        </w:tabs>
        <w:jc w:val="both"/>
        <w:rPr>
          <w:rFonts w:eastAsia="Calibri" w:cs="Times New Roman"/>
        </w:rPr>
      </w:pPr>
    </w:p>
    <w:p w14:paraId="30FA12A7" w14:textId="77777777" w:rsidR="00B62EBA" w:rsidRPr="0043289D" w:rsidRDefault="00B62EBA" w:rsidP="00B62EBA">
      <w:pPr>
        <w:tabs>
          <w:tab w:val="left" w:pos="5280"/>
        </w:tabs>
        <w:jc w:val="both"/>
        <w:rPr>
          <w:rFonts w:eastAsia="Calibri" w:cs="Times New Roman"/>
        </w:rPr>
      </w:pPr>
    </w:p>
    <w:p w14:paraId="04AA63B1" w14:textId="77777777" w:rsidR="00B62EBA" w:rsidRPr="0043289D" w:rsidRDefault="00B62EBA" w:rsidP="00B62EBA">
      <w:pPr>
        <w:tabs>
          <w:tab w:val="left" w:pos="5280"/>
        </w:tabs>
        <w:jc w:val="both"/>
        <w:rPr>
          <w:rFonts w:eastAsia="Calibri" w:cs="Times New Roman"/>
        </w:rPr>
      </w:pPr>
      <w:r w:rsidRPr="0043289D">
        <w:rPr>
          <w:rFonts w:eastAsia="Calibri" w:cs="Times New Roman"/>
        </w:rPr>
        <w:t>Los estados financie</w:t>
      </w:r>
      <w:r>
        <w:rPr>
          <w:rFonts w:eastAsia="Calibri" w:cs="Times New Roman"/>
        </w:rPr>
        <w:t>ros muestran un resultado de $ 4.4</w:t>
      </w:r>
      <w:r w:rsidRPr="0043289D">
        <w:rPr>
          <w:rFonts w:eastAsia="Calibri" w:cs="Times New Roman"/>
        </w:rPr>
        <w:t xml:space="preserve"> pesos de </w:t>
      </w:r>
      <w:r w:rsidRPr="0043289D">
        <w:rPr>
          <w:rFonts w:eastAsia="Calibri" w:cs="Times New Roman"/>
          <w:b/>
        </w:rPr>
        <w:t>liquidez y disponibilidad inmediata</w:t>
      </w:r>
      <w:r w:rsidRPr="0043289D">
        <w:rPr>
          <w:rFonts w:eastAsia="Calibri" w:cs="Times New Roman"/>
        </w:rPr>
        <w:t xml:space="preserve"> para hacer frente a cada peso de los compromisos de corto plazo.</w:t>
      </w:r>
    </w:p>
    <w:p w14:paraId="17BF3AAB" w14:textId="77777777" w:rsidR="00B62EBA" w:rsidRPr="0043289D" w:rsidRDefault="00B62EBA" w:rsidP="00B62EBA">
      <w:pPr>
        <w:tabs>
          <w:tab w:val="left" w:pos="5280"/>
        </w:tabs>
        <w:jc w:val="both"/>
        <w:rPr>
          <w:rFonts w:eastAsia="Calibri" w:cs="Times New Roman"/>
        </w:rPr>
      </w:pPr>
    </w:p>
    <w:p w14:paraId="1E3A82E5" w14:textId="77777777" w:rsidR="00B62EBA" w:rsidRPr="0043289D" w:rsidRDefault="00B62EBA" w:rsidP="00B62EBA">
      <w:pPr>
        <w:tabs>
          <w:tab w:val="left" w:pos="5280"/>
        </w:tabs>
        <w:jc w:val="both"/>
        <w:rPr>
          <w:rFonts w:eastAsia="Calibri" w:cs="Times New Roman"/>
        </w:rPr>
      </w:pPr>
      <w:r w:rsidRPr="0043289D">
        <w:rPr>
          <w:rFonts w:eastAsia="Calibri" w:cs="Times New Roman"/>
        </w:rPr>
        <w:t xml:space="preserve">La razón de </w:t>
      </w:r>
      <w:r w:rsidRPr="0043289D">
        <w:rPr>
          <w:rFonts w:eastAsia="Calibri" w:cs="Times New Roman"/>
          <w:b/>
          <w:bCs/>
        </w:rPr>
        <w:t>solvencia</w:t>
      </w:r>
      <w:r w:rsidRPr="0043289D">
        <w:rPr>
          <w:rFonts w:eastAsia="Calibri" w:cs="Times New Roman"/>
        </w:rPr>
        <w:t xml:space="preserve"> muestra que </w:t>
      </w:r>
      <w:r>
        <w:rPr>
          <w:rFonts w:eastAsia="Calibri" w:cs="Times New Roman"/>
        </w:rPr>
        <w:t>el Poder Judicial cuenta con $ 4.4</w:t>
      </w:r>
      <w:r w:rsidRPr="0043289D">
        <w:rPr>
          <w:rFonts w:eastAsia="Calibri" w:cs="Times New Roman"/>
        </w:rPr>
        <w:t xml:space="preserve"> pesos para cubrir cada peso que debe por sus compromisos a corto plazo.</w:t>
      </w:r>
    </w:p>
    <w:p w14:paraId="45BC5DB0" w14:textId="77777777" w:rsidR="00B62EBA" w:rsidRPr="0043289D" w:rsidRDefault="00B62EBA" w:rsidP="00B62EBA">
      <w:pPr>
        <w:tabs>
          <w:tab w:val="left" w:pos="5280"/>
        </w:tabs>
        <w:jc w:val="both"/>
        <w:rPr>
          <w:rFonts w:eastAsia="Calibri" w:cs="Times New Roman"/>
        </w:rPr>
      </w:pPr>
    </w:p>
    <w:p w14:paraId="66630240" w14:textId="77777777" w:rsidR="00B62EBA" w:rsidRPr="0043289D" w:rsidRDefault="00B62EBA" w:rsidP="00B62EBA">
      <w:pPr>
        <w:tabs>
          <w:tab w:val="left" w:pos="5280"/>
        </w:tabs>
        <w:jc w:val="both"/>
        <w:rPr>
          <w:rFonts w:eastAsia="Calibri" w:cs="Times New Roman"/>
        </w:rPr>
      </w:pPr>
      <w:r w:rsidRPr="0043289D">
        <w:rPr>
          <w:rFonts w:eastAsia="Calibri" w:cs="Times New Roman"/>
        </w:rPr>
        <w:t xml:space="preserve">La </w:t>
      </w:r>
      <w:r w:rsidRPr="0043289D">
        <w:rPr>
          <w:rFonts w:eastAsia="Calibri" w:cs="Times New Roman"/>
          <w:b/>
          <w:bCs/>
        </w:rPr>
        <w:t>prueba del ácido</w:t>
      </w:r>
      <w:r w:rsidRPr="0043289D">
        <w:rPr>
          <w:rFonts w:eastAsia="Calibri" w:cs="Times New Roman"/>
        </w:rPr>
        <w:t xml:space="preserve"> indica que </w:t>
      </w:r>
      <w:r>
        <w:rPr>
          <w:rFonts w:eastAsia="Calibri" w:cs="Times New Roman"/>
        </w:rPr>
        <w:t>el Poder Judicial cuenta con $ 4.4</w:t>
      </w:r>
      <w:r w:rsidRPr="0043289D">
        <w:rPr>
          <w:rFonts w:eastAsia="Calibri" w:cs="Times New Roman"/>
        </w:rPr>
        <w:t xml:space="preserve"> pesos de activos de conversión inmediata en efectivo por cada peso de pasivos a corto plazo.</w:t>
      </w:r>
    </w:p>
    <w:p w14:paraId="7F5A3EDE" w14:textId="77777777" w:rsidR="00B62EBA" w:rsidRPr="0043289D" w:rsidRDefault="00B62EBA" w:rsidP="00B62EBA">
      <w:pPr>
        <w:tabs>
          <w:tab w:val="left" w:pos="5280"/>
        </w:tabs>
        <w:jc w:val="both"/>
        <w:rPr>
          <w:rFonts w:eastAsia="Calibri" w:cs="Times New Roman"/>
        </w:rPr>
      </w:pPr>
    </w:p>
    <w:p w14:paraId="442AC0E3" w14:textId="77777777" w:rsidR="00B62EBA" w:rsidRPr="0043289D" w:rsidRDefault="00B62EBA" w:rsidP="00B62EBA">
      <w:pPr>
        <w:tabs>
          <w:tab w:val="left" w:pos="5280"/>
        </w:tabs>
        <w:jc w:val="both"/>
        <w:rPr>
          <w:rFonts w:eastAsia="Calibri" w:cs="Times New Roman"/>
        </w:rPr>
      </w:pPr>
      <w:r w:rsidRPr="0043289D">
        <w:rPr>
          <w:rFonts w:eastAsia="Calibri" w:cs="Times New Roman"/>
        </w:rPr>
        <w:t xml:space="preserve">La posición financiera que guarda el Poder Judicial muestra los ingresos y egresos al </w:t>
      </w:r>
      <w:r>
        <w:rPr>
          <w:rFonts w:eastAsia="Calibri" w:cs="Times New Roman"/>
        </w:rPr>
        <w:t>31 de marzo del ejercicio 2024</w:t>
      </w:r>
      <w:r w:rsidRPr="0043289D">
        <w:rPr>
          <w:rFonts w:eastAsia="Calibri" w:cs="Times New Roman"/>
        </w:rPr>
        <w:t>, toda vez que los saldos de los pasivos se han mantenido en niveles saludables y en equilibrio de la recaudación de los ingresos</w:t>
      </w:r>
    </w:p>
    <w:p w14:paraId="37369038" w14:textId="77777777" w:rsidR="00B62EBA" w:rsidRPr="0043289D" w:rsidRDefault="00B62EBA" w:rsidP="00B62EBA">
      <w:pPr>
        <w:tabs>
          <w:tab w:val="left" w:pos="5280"/>
        </w:tabs>
        <w:jc w:val="both"/>
        <w:rPr>
          <w:rFonts w:eastAsia="Calibri" w:cs="Times New Roman"/>
        </w:rPr>
      </w:pPr>
    </w:p>
    <w:p w14:paraId="43478052" w14:textId="77777777" w:rsidR="00B62EBA" w:rsidRPr="0043289D" w:rsidRDefault="00B62EBA" w:rsidP="00B62EBA">
      <w:pPr>
        <w:tabs>
          <w:tab w:val="left" w:pos="5280"/>
        </w:tabs>
        <w:jc w:val="both"/>
        <w:rPr>
          <w:rFonts w:eastAsia="Calibri" w:cs="Times New Roman"/>
        </w:rPr>
      </w:pPr>
      <w:r w:rsidRPr="0043289D">
        <w:rPr>
          <w:rFonts w:eastAsia="Calibri" w:cs="Times New Roman"/>
        </w:rPr>
        <w:t>En conclusión, las obligaciones que se tienen a corto plazo, son cubiertas con el total de los activos propiedad del Poder Judicial.</w:t>
      </w:r>
    </w:p>
    <w:p w14:paraId="2912AAAC" w14:textId="77777777" w:rsidR="00B62EBA" w:rsidRPr="0043289D" w:rsidRDefault="00B62EBA" w:rsidP="00B62EBA">
      <w:pPr>
        <w:tabs>
          <w:tab w:val="left" w:pos="5280"/>
        </w:tabs>
        <w:jc w:val="both"/>
        <w:rPr>
          <w:rFonts w:eastAsia="Calibri" w:cs="Times New Roman"/>
        </w:rPr>
      </w:pPr>
    </w:p>
    <w:p w14:paraId="4C2A5D01" w14:textId="77777777" w:rsidR="00B62EBA" w:rsidRPr="0043289D" w:rsidRDefault="00B62EBA" w:rsidP="00B62EBA">
      <w:pPr>
        <w:tabs>
          <w:tab w:val="left" w:pos="5280"/>
        </w:tabs>
        <w:jc w:val="both"/>
        <w:rPr>
          <w:rFonts w:eastAsia="Calibri" w:cs="Times New Roman"/>
        </w:rPr>
      </w:pPr>
    </w:p>
    <w:p w14:paraId="103EC502" w14:textId="77777777" w:rsidR="00B62EBA" w:rsidRPr="0043289D" w:rsidRDefault="00B62EBA" w:rsidP="00B62EBA">
      <w:pPr>
        <w:jc w:val="both"/>
        <w:rPr>
          <w:rFonts w:eastAsia="Calibri" w:cs="Times New Roman"/>
          <w:b/>
          <w:caps/>
        </w:rPr>
      </w:pPr>
    </w:p>
    <w:p w14:paraId="5318A8CE" w14:textId="77777777" w:rsidR="00B62EBA" w:rsidRPr="0043289D" w:rsidRDefault="00B62EBA" w:rsidP="00B62EBA">
      <w:pPr>
        <w:spacing w:after="160" w:line="259" w:lineRule="auto"/>
        <w:jc w:val="both"/>
        <w:rPr>
          <w:rFonts w:eastAsia="Calibri" w:cs="Times New Roman"/>
          <w:b/>
          <w:caps/>
        </w:rPr>
      </w:pPr>
      <w:r w:rsidRPr="0043289D">
        <w:rPr>
          <w:rFonts w:eastAsia="Calibri" w:cs="Times New Roman"/>
          <w:b/>
          <w:caps/>
        </w:rPr>
        <w:br w:type="page"/>
      </w:r>
    </w:p>
    <w:p w14:paraId="7410C0D2" w14:textId="77777777" w:rsidR="00B62EBA" w:rsidRPr="00B62EBA" w:rsidRDefault="00B62EBA" w:rsidP="00B62EBA">
      <w:pPr>
        <w:keepNext/>
        <w:keepLines/>
        <w:jc w:val="both"/>
        <w:outlineLvl w:val="0"/>
        <w:rPr>
          <w:rFonts w:eastAsia="Times New Roman" w:cstheme="majorBidi"/>
          <w:b/>
          <w:bCs/>
          <w:iCs/>
          <w:color w:val="9E213D"/>
          <w:sz w:val="28"/>
          <w:szCs w:val="32"/>
          <w:lang w:eastAsia="es-MX"/>
        </w:rPr>
      </w:pPr>
      <w:bookmarkStart w:id="7" w:name="_Hlk125467787"/>
      <w:r w:rsidRPr="00B62EBA">
        <w:rPr>
          <w:rFonts w:eastAsia="Times New Roman" w:cstheme="majorBidi"/>
          <w:b/>
          <w:color w:val="9E213D"/>
          <w:sz w:val="28"/>
          <w:szCs w:val="32"/>
          <w:lang w:eastAsia="es-MX"/>
        </w:rPr>
        <w:lastRenderedPageBreak/>
        <w:t>Reporte analítico del activo no circulante</w:t>
      </w:r>
    </w:p>
    <w:p w14:paraId="41C23E43" w14:textId="77777777" w:rsidR="00B62EBA" w:rsidRPr="0043289D" w:rsidRDefault="00B62EBA" w:rsidP="00B62EBA">
      <w:pPr>
        <w:widowControl w:val="0"/>
        <w:jc w:val="both"/>
        <w:rPr>
          <w:rFonts w:eastAsia="Calibri" w:cs="Arial"/>
          <w:szCs w:val="20"/>
        </w:rPr>
      </w:pPr>
    </w:p>
    <w:bookmarkEnd w:id="7"/>
    <w:p w14:paraId="53DB617C" w14:textId="77777777" w:rsidR="00B62EBA" w:rsidRPr="0043289D" w:rsidRDefault="00B62EBA" w:rsidP="00B62EBA">
      <w:pPr>
        <w:widowControl w:val="0"/>
        <w:jc w:val="both"/>
        <w:rPr>
          <w:rFonts w:eastAsia="Calibri" w:cs="Times New Roman"/>
        </w:rPr>
      </w:pPr>
      <w:r w:rsidRPr="0043289D">
        <w:rPr>
          <w:rFonts w:eastAsia="Calibri" w:cs="Times New Roman"/>
        </w:rPr>
        <w:t xml:space="preserve">A continuación, se presentan los saldos por tipo de activo no circulante registrado en los estados financieros consolidados del poder judicial, al </w:t>
      </w:r>
      <w:r>
        <w:rPr>
          <w:rFonts w:eastAsia="Calibri" w:cs="Times New Roman"/>
        </w:rPr>
        <w:t>31 de marzo de 2024</w:t>
      </w:r>
      <w:r w:rsidRPr="0043289D">
        <w:rPr>
          <w:rFonts w:eastAsia="Calibri" w:cs="Times New Roman"/>
        </w:rPr>
        <w:t>. Este reporte muestra el total de las adquisiciones que cada uno de los entes públicos integran su patrimonio.</w:t>
      </w:r>
    </w:p>
    <w:p w14:paraId="2237C763" w14:textId="77777777" w:rsidR="00B62EBA" w:rsidRPr="0043289D" w:rsidRDefault="00B62EBA" w:rsidP="00B62EBA">
      <w:pPr>
        <w:jc w:val="both"/>
        <w:rPr>
          <w:rFonts w:eastAsia="Calibri" w:cs="Times New Roman"/>
          <w:b/>
          <w:bCs/>
        </w:rPr>
      </w:pPr>
    </w:p>
    <w:p w14:paraId="50E8E5AC" w14:textId="77777777" w:rsidR="00B62EBA" w:rsidRPr="0043289D" w:rsidRDefault="00B62EBA" w:rsidP="00B62EBA">
      <w:pPr>
        <w:jc w:val="center"/>
        <w:rPr>
          <w:rFonts w:eastAsia="Calibri" w:cs="Times New Roman"/>
          <w:b/>
          <w:bCs/>
        </w:rPr>
      </w:pPr>
      <w:r w:rsidRPr="00DF5FFC">
        <w:rPr>
          <w:noProof/>
          <w:lang w:eastAsia="es-MX"/>
        </w:rPr>
        <w:drawing>
          <wp:inline distT="0" distB="0" distL="0" distR="0" wp14:anchorId="5906AA83" wp14:editId="6FC8424C">
            <wp:extent cx="6331585" cy="1523741"/>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523741"/>
                    </a:xfrm>
                    <a:prstGeom prst="rect">
                      <a:avLst/>
                    </a:prstGeom>
                    <a:noFill/>
                    <a:ln>
                      <a:noFill/>
                    </a:ln>
                  </pic:spPr>
                </pic:pic>
              </a:graphicData>
            </a:graphic>
          </wp:inline>
        </w:drawing>
      </w:r>
    </w:p>
    <w:p w14:paraId="11BFE6FB" w14:textId="77777777" w:rsidR="00B62EBA" w:rsidRPr="0043289D" w:rsidRDefault="00B62EBA" w:rsidP="00B62EBA">
      <w:pPr>
        <w:jc w:val="both"/>
        <w:rPr>
          <w:rFonts w:eastAsia="Calibri" w:cs="Times New Roman"/>
          <w:b/>
          <w:bCs/>
        </w:rPr>
      </w:pPr>
    </w:p>
    <w:p w14:paraId="0A0CE974" w14:textId="77777777" w:rsidR="00B62EBA" w:rsidRPr="0043289D" w:rsidRDefault="00B62EBA" w:rsidP="00B62EBA">
      <w:pPr>
        <w:jc w:val="both"/>
        <w:rPr>
          <w:rFonts w:eastAsia="Calibri" w:cs="Times New Roman"/>
          <w:b/>
          <w:bCs/>
        </w:rPr>
      </w:pPr>
    </w:p>
    <w:p w14:paraId="2C64B872" w14:textId="77777777" w:rsidR="00B62EBA" w:rsidRPr="0043289D" w:rsidRDefault="00B62EBA" w:rsidP="00B62EBA">
      <w:pPr>
        <w:jc w:val="both"/>
        <w:rPr>
          <w:rFonts w:eastAsia="Calibri" w:cs="Times New Roman"/>
        </w:rPr>
      </w:pPr>
    </w:p>
    <w:p w14:paraId="2F04B4D2" w14:textId="77777777" w:rsidR="00B62EBA" w:rsidRPr="0043289D" w:rsidRDefault="00B62EBA" w:rsidP="00B62EBA">
      <w:pPr>
        <w:jc w:val="center"/>
        <w:rPr>
          <w:rFonts w:eastAsia="Calibri" w:cs="Times New Roman"/>
        </w:rPr>
      </w:pPr>
      <w:r w:rsidRPr="00DF5FFC">
        <w:rPr>
          <w:noProof/>
          <w:lang w:eastAsia="es-MX"/>
        </w:rPr>
        <w:drawing>
          <wp:inline distT="0" distB="0" distL="0" distR="0" wp14:anchorId="70A44E39" wp14:editId="6A59E135">
            <wp:extent cx="6331585" cy="1498076"/>
            <wp:effectExtent l="0" t="0" r="0" b="0"/>
            <wp:docPr id="1846405760" name="Imagen 18464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498076"/>
                    </a:xfrm>
                    <a:prstGeom prst="rect">
                      <a:avLst/>
                    </a:prstGeom>
                    <a:noFill/>
                    <a:ln>
                      <a:noFill/>
                    </a:ln>
                  </pic:spPr>
                </pic:pic>
              </a:graphicData>
            </a:graphic>
          </wp:inline>
        </w:drawing>
      </w:r>
    </w:p>
    <w:p w14:paraId="6299BA19" w14:textId="77777777" w:rsidR="00B62EBA" w:rsidRPr="0043289D" w:rsidRDefault="00B62EBA" w:rsidP="00B62EBA">
      <w:pPr>
        <w:jc w:val="both"/>
        <w:rPr>
          <w:rFonts w:eastAsia="Calibri" w:cs="Times New Roman"/>
        </w:rPr>
      </w:pPr>
    </w:p>
    <w:p w14:paraId="3E853ACE" w14:textId="77777777" w:rsidR="00B62EBA" w:rsidRDefault="00B62EBA" w:rsidP="00B62EBA">
      <w:pPr>
        <w:jc w:val="both"/>
        <w:rPr>
          <w:rFonts w:eastAsia="Calibri" w:cs="Times New Roman"/>
        </w:rPr>
      </w:pPr>
    </w:p>
    <w:p w14:paraId="182DD5FE" w14:textId="77777777" w:rsidR="00B62EBA" w:rsidRPr="0043289D" w:rsidRDefault="00B62EBA" w:rsidP="00B62EBA">
      <w:pPr>
        <w:jc w:val="both"/>
        <w:rPr>
          <w:rFonts w:eastAsia="Calibri" w:cs="Times New Roman"/>
        </w:rPr>
      </w:pPr>
    </w:p>
    <w:p w14:paraId="31772CFE" w14:textId="77777777" w:rsidR="00B62EBA" w:rsidRPr="0043289D" w:rsidRDefault="00B62EBA" w:rsidP="00B62EBA">
      <w:pPr>
        <w:jc w:val="center"/>
        <w:rPr>
          <w:rFonts w:eastAsia="Calibri" w:cs="Times New Roman"/>
        </w:rPr>
      </w:pPr>
      <w:r w:rsidRPr="00DF5FFC">
        <w:rPr>
          <w:noProof/>
          <w:lang w:eastAsia="es-MX"/>
        </w:rPr>
        <w:drawing>
          <wp:inline distT="0" distB="0" distL="0" distR="0" wp14:anchorId="15219BE0" wp14:editId="4565B040">
            <wp:extent cx="6331585" cy="1662004"/>
            <wp:effectExtent l="0" t="0" r="0" b="0"/>
            <wp:docPr id="1846405761" name="Imagen 184640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662004"/>
                    </a:xfrm>
                    <a:prstGeom prst="rect">
                      <a:avLst/>
                    </a:prstGeom>
                    <a:noFill/>
                    <a:ln>
                      <a:noFill/>
                    </a:ln>
                  </pic:spPr>
                </pic:pic>
              </a:graphicData>
            </a:graphic>
          </wp:inline>
        </w:drawing>
      </w:r>
    </w:p>
    <w:p w14:paraId="4405DD32" w14:textId="77777777" w:rsidR="00B62EBA" w:rsidRPr="0043289D" w:rsidRDefault="00B62EBA" w:rsidP="00B62EBA">
      <w:pPr>
        <w:jc w:val="both"/>
        <w:rPr>
          <w:rFonts w:eastAsia="Calibri" w:cs="Times New Roman"/>
        </w:rPr>
      </w:pPr>
    </w:p>
    <w:p w14:paraId="3003A799" w14:textId="77777777" w:rsidR="00B62EBA" w:rsidRPr="0043289D" w:rsidRDefault="00B62EBA" w:rsidP="00B62EBA">
      <w:pPr>
        <w:jc w:val="both"/>
        <w:rPr>
          <w:rFonts w:eastAsia="Calibri" w:cs="Times New Roman"/>
        </w:rPr>
      </w:pPr>
    </w:p>
    <w:p w14:paraId="174169A8" w14:textId="77777777" w:rsidR="00B62EBA" w:rsidRPr="0043289D" w:rsidRDefault="00B62EBA" w:rsidP="00B62EBA">
      <w:pPr>
        <w:jc w:val="both"/>
        <w:rPr>
          <w:rFonts w:eastAsia="Calibri" w:cs="Times New Roman"/>
        </w:rPr>
      </w:pPr>
    </w:p>
    <w:p w14:paraId="437F1A0A" w14:textId="77777777" w:rsidR="00B62EBA" w:rsidRPr="0043289D" w:rsidRDefault="00B62EBA" w:rsidP="00B62EBA">
      <w:pPr>
        <w:jc w:val="center"/>
        <w:outlineLvl w:val="0"/>
        <w:rPr>
          <w:rFonts w:eastAsia="Calibri" w:cs="Times New Roman"/>
        </w:rPr>
      </w:pPr>
      <w:r w:rsidRPr="00DF5FFC">
        <w:rPr>
          <w:noProof/>
          <w:lang w:eastAsia="es-MX"/>
        </w:rPr>
        <w:drawing>
          <wp:inline distT="0" distB="0" distL="0" distR="0" wp14:anchorId="692752DA" wp14:editId="24A2599A">
            <wp:extent cx="6331585" cy="1653608"/>
            <wp:effectExtent l="0" t="0" r="0" b="0"/>
            <wp:docPr id="1846405762" name="Imagen 184640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653608"/>
                    </a:xfrm>
                    <a:prstGeom prst="rect">
                      <a:avLst/>
                    </a:prstGeom>
                    <a:noFill/>
                    <a:ln>
                      <a:noFill/>
                    </a:ln>
                  </pic:spPr>
                </pic:pic>
              </a:graphicData>
            </a:graphic>
          </wp:inline>
        </w:drawing>
      </w:r>
    </w:p>
    <w:p w14:paraId="0FA87ECF" w14:textId="77777777" w:rsidR="00B62EBA" w:rsidRPr="0043289D" w:rsidRDefault="00B62EBA" w:rsidP="00B62EBA">
      <w:pPr>
        <w:jc w:val="center"/>
        <w:outlineLvl w:val="0"/>
        <w:rPr>
          <w:rFonts w:eastAsia="Calibri" w:cs="Times New Roman"/>
        </w:rPr>
      </w:pPr>
      <w:r w:rsidRPr="00DF5FFC">
        <w:rPr>
          <w:noProof/>
          <w:lang w:eastAsia="es-MX"/>
        </w:rPr>
        <w:lastRenderedPageBreak/>
        <w:drawing>
          <wp:inline distT="0" distB="0" distL="0" distR="0" wp14:anchorId="03542BB6" wp14:editId="4F1D9286">
            <wp:extent cx="6331585" cy="1493475"/>
            <wp:effectExtent l="0" t="0" r="0" b="0"/>
            <wp:docPr id="1846405769" name="Imagen 184640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1493475"/>
                    </a:xfrm>
                    <a:prstGeom prst="rect">
                      <a:avLst/>
                    </a:prstGeom>
                    <a:noFill/>
                    <a:ln>
                      <a:noFill/>
                    </a:ln>
                  </pic:spPr>
                </pic:pic>
              </a:graphicData>
            </a:graphic>
          </wp:inline>
        </w:drawing>
      </w:r>
    </w:p>
    <w:p w14:paraId="4E158C9C" w14:textId="77777777" w:rsidR="00B62EBA" w:rsidRPr="0043289D" w:rsidRDefault="00B62EBA" w:rsidP="00B62EBA">
      <w:pPr>
        <w:jc w:val="both"/>
        <w:rPr>
          <w:rFonts w:eastAsia="Calibri" w:cs="Times New Roman"/>
        </w:rPr>
      </w:pPr>
    </w:p>
    <w:p w14:paraId="2BC02C77" w14:textId="77777777" w:rsidR="00B62EBA" w:rsidRPr="0043289D" w:rsidRDefault="00B62EBA" w:rsidP="00B62EBA">
      <w:pPr>
        <w:jc w:val="both"/>
        <w:rPr>
          <w:rFonts w:eastAsia="Calibri" w:cs="Times New Roman"/>
        </w:rPr>
      </w:pPr>
    </w:p>
    <w:p w14:paraId="0676AB5F" w14:textId="77777777" w:rsidR="00B62EBA" w:rsidRPr="0043289D" w:rsidRDefault="00B62EBA" w:rsidP="00B62EBA">
      <w:pPr>
        <w:jc w:val="both"/>
        <w:rPr>
          <w:rFonts w:eastAsia="Calibri" w:cs="Times New Roman"/>
        </w:rPr>
      </w:pPr>
    </w:p>
    <w:p w14:paraId="119922B2" w14:textId="77777777" w:rsidR="00B62EBA" w:rsidRPr="0043289D" w:rsidRDefault="00B62EBA" w:rsidP="00B62EBA">
      <w:pPr>
        <w:jc w:val="center"/>
        <w:outlineLvl w:val="0"/>
        <w:rPr>
          <w:rFonts w:eastAsia="Calibri" w:cs="Times New Roman"/>
        </w:rPr>
      </w:pPr>
      <w:r w:rsidRPr="00DF5FFC">
        <w:rPr>
          <w:noProof/>
          <w:lang w:eastAsia="es-MX"/>
        </w:rPr>
        <w:drawing>
          <wp:inline distT="0" distB="0" distL="0" distR="0" wp14:anchorId="3C8AFB5E" wp14:editId="3ADA2A14">
            <wp:extent cx="6331585" cy="1600230"/>
            <wp:effectExtent l="0" t="0" r="0" b="0"/>
            <wp:docPr id="1846405770" name="Imagen 184640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600230"/>
                    </a:xfrm>
                    <a:prstGeom prst="rect">
                      <a:avLst/>
                    </a:prstGeom>
                    <a:noFill/>
                    <a:ln>
                      <a:noFill/>
                    </a:ln>
                  </pic:spPr>
                </pic:pic>
              </a:graphicData>
            </a:graphic>
          </wp:inline>
        </w:drawing>
      </w:r>
    </w:p>
    <w:p w14:paraId="3AD4CF92" w14:textId="77777777" w:rsidR="00B62EBA" w:rsidRPr="0043289D" w:rsidRDefault="00B62EBA" w:rsidP="00B62EBA">
      <w:pPr>
        <w:jc w:val="both"/>
        <w:outlineLvl w:val="0"/>
        <w:rPr>
          <w:rFonts w:eastAsia="Calibri" w:cs="Times New Roman"/>
        </w:rPr>
      </w:pPr>
    </w:p>
    <w:p w14:paraId="112BE3C4" w14:textId="77777777" w:rsidR="00B62EBA" w:rsidRPr="0043289D" w:rsidRDefault="00B62EBA" w:rsidP="00B62EBA">
      <w:pPr>
        <w:jc w:val="both"/>
        <w:outlineLvl w:val="0"/>
        <w:rPr>
          <w:rFonts w:eastAsia="Calibri" w:cs="Times New Roman"/>
        </w:rPr>
      </w:pPr>
    </w:p>
    <w:p w14:paraId="5BCD93DE" w14:textId="77777777" w:rsidR="00B62EBA" w:rsidRPr="000439A7" w:rsidRDefault="00B62EBA" w:rsidP="00B62EBA">
      <w:pPr>
        <w:rPr>
          <w:rFonts w:eastAsia="Calibri" w:cs="Arial"/>
          <w:szCs w:val="20"/>
        </w:rPr>
      </w:pPr>
    </w:p>
    <w:p w14:paraId="4F2CD79D" w14:textId="77777777" w:rsidR="00124B1F" w:rsidRDefault="00124B1F" w:rsidP="000116EA">
      <w:pPr>
        <w:jc w:val="both"/>
        <w:rPr>
          <w:rFonts w:eastAsia="Arial" w:cs="Arial"/>
        </w:rPr>
      </w:pPr>
    </w:p>
    <w:sectPr w:rsidR="00124B1F" w:rsidSect="00F2586B">
      <w:headerReference w:type="default" r:id="rId45"/>
      <w:footerReference w:type="default" r:id="rId46"/>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B32D" w14:textId="77777777" w:rsidR="00322DA6" w:rsidRDefault="00322DA6" w:rsidP="00DB7283">
      <w:r>
        <w:separator/>
      </w:r>
    </w:p>
  </w:endnote>
  <w:endnote w:type="continuationSeparator" w:id="0">
    <w:p w14:paraId="285B0DAB" w14:textId="77777777" w:rsidR="00322DA6" w:rsidRDefault="00322DA6"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1741" w14:textId="77777777" w:rsidR="0029081D" w:rsidRPr="0029081D" w:rsidRDefault="0029081D" w:rsidP="0029081D">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5FCA" w14:textId="77777777" w:rsidR="00322DA6" w:rsidRDefault="00322DA6" w:rsidP="00DB7283">
      <w:r>
        <w:separator/>
      </w:r>
    </w:p>
  </w:footnote>
  <w:footnote w:type="continuationSeparator" w:id="0">
    <w:p w14:paraId="0CAB2D47" w14:textId="77777777" w:rsidR="00322DA6" w:rsidRDefault="00322DA6"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A1B0" w14:textId="77777777" w:rsidR="00F2586B" w:rsidRDefault="00F2586B" w:rsidP="00F2586B">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48000" behindDoc="0" locked="0" layoutInCell="1" allowOverlap="1" wp14:anchorId="6D851418" wp14:editId="2560CE3D">
              <wp:simplePos x="0" y="0"/>
              <wp:positionH relativeFrom="margin">
                <wp:posOffset>927735</wp:posOffset>
              </wp:positionH>
              <wp:positionV relativeFrom="paragraph">
                <wp:posOffset>-214630</wp:posOffset>
              </wp:positionV>
              <wp:extent cx="4837430" cy="381000"/>
              <wp:effectExtent l="0" t="0" r="0" b="0"/>
              <wp:wrapNone/>
              <wp:docPr id="13490797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7AF57" w14:textId="77777777" w:rsidR="00F2586B" w:rsidRDefault="00F2586B" w:rsidP="00F2586B">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5D4E8A13" w14:textId="344A99DD" w:rsidR="00F2586B" w:rsidRDefault="00F2586B" w:rsidP="00F2586B">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2B59C5">
                            <w:rPr>
                              <w:rFonts w:ascii="HelveticaNeueLT Std Lt" w:eastAsia="Kozuka Gothic Pro B" w:hAnsi="HelveticaNeueLT Std Lt"/>
                            </w:rPr>
                            <w:t>4</w:t>
                          </w:r>
                        </w:p>
                        <w:p w14:paraId="2913EED1" w14:textId="77777777" w:rsidR="00F2586B" w:rsidRPr="00CB4010" w:rsidRDefault="00F2586B" w:rsidP="00F2586B">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51418"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" filled="f" stroked="f">
              <v:textbox>
                <w:txbxContent>
                  <w:p w14:paraId="7237AF57" w14:textId="77777777" w:rsidR="00F2586B" w:rsidRDefault="00F2586B" w:rsidP="00F2586B">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5D4E8A13" w14:textId="344A99DD" w:rsidR="00F2586B" w:rsidRDefault="00F2586B" w:rsidP="00F2586B">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2B59C5">
                      <w:rPr>
                        <w:rFonts w:ascii="HelveticaNeueLT Std Lt" w:eastAsia="Kozuka Gothic Pro B" w:hAnsi="HelveticaNeueLT Std Lt"/>
                      </w:rPr>
                      <w:t>4</w:t>
                    </w:r>
                  </w:p>
                  <w:p w14:paraId="2913EED1" w14:textId="77777777" w:rsidR="00F2586B" w:rsidRPr="00CB4010" w:rsidRDefault="00F2586B" w:rsidP="00F2586B">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0048" behindDoc="1" locked="0" layoutInCell="1" allowOverlap="1" wp14:anchorId="0DD4B4D5" wp14:editId="342A0B79">
          <wp:simplePos x="0" y="0"/>
          <wp:positionH relativeFrom="page">
            <wp:align>right</wp:align>
          </wp:positionH>
          <wp:positionV relativeFrom="paragraph">
            <wp:posOffset>-231140</wp:posOffset>
          </wp:positionV>
          <wp:extent cx="7772400" cy="466725"/>
          <wp:effectExtent l="0" t="0" r="0" b="9525"/>
          <wp:wrapNone/>
          <wp:docPr id="432520780" name="Imagen 43252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1F0CE02" w14:textId="77777777" w:rsidR="00F2586B" w:rsidRDefault="00F2586B" w:rsidP="00F2586B">
    <w:pPr>
      <w:pStyle w:val="Encabezado"/>
      <w:tabs>
        <w:tab w:val="left" w:pos="4860"/>
      </w:tabs>
      <w:ind w:right="846"/>
      <w:jc w:val="right"/>
      <w:rPr>
        <w:rFonts w:ascii="Romana BT" w:hAnsi="Romana BT"/>
        <w:b/>
        <w:sz w:val="16"/>
        <w:szCs w:val="16"/>
      </w:rPr>
    </w:pPr>
  </w:p>
  <w:p w14:paraId="5E1BD9F2" w14:textId="77777777" w:rsidR="00F2586B" w:rsidRPr="00BF6032" w:rsidRDefault="00F2586B" w:rsidP="00F2586B">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3"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30"/>
  </w:num>
  <w:num w:numId="4">
    <w:abstractNumId w:val="3"/>
  </w:num>
  <w:num w:numId="5">
    <w:abstractNumId w:val="2"/>
  </w:num>
  <w:num w:numId="6">
    <w:abstractNumId w:val="14"/>
  </w:num>
  <w:num w:numId="7">
    <w:abstractNumId w:val="32"/>
  </w:num>
  <w:num w:numId="8">
    <w:abstractNumId w:val="28"/>
  </w:num>
  <w:num w:numId="9">
    <w:abstractNumId w:val="31"/>
  </w:num>
  <w:num w:numId="10">
    <w:abstractNumId w:val="23"/>
  </w:num>
  <w:num w:numId="11">
    <w:abstractNumId w:val="4"/>
  </w:num>
  <w:num w:numId="12">
    <w:abstractNumId w:val="21"/>
  </w:num>
  <w:num w:numId="13">
    <w:abstractNumId w:val="26"/>
  </w:num>
  <w:num w:numId="14">
    <w:abstractNumId w:val="5"/>
  </w:num>
  <w:num w:numId="15">
    <w:abstractNumId w:val="33"/>
  </w:num>
  <w:num w:numId="16">
    <w:abstractNumId w:val="12"/>
  </w:num>
  <w:num w:numId="17">
    <w:abstractNumId w:val="13"/>
  </w:num>
  <w:num w:numId="18">
    <w:abstractNumId w:val="7"/>
  </w:num>
  <w:num w:numId="19">
    <w:abstractNumId w:val="25"/>
  </w:num>
  <w:num w:numId="20">
    <w:abstractNumId w:val="6"/>
  </w:num>
  <w:num w:numId="21">
    <w:abstractNumId w:val="29"/>
  </w:num>
  <w:num w:numId="22">
    <w:abstractNumId w:val="16"/>
  </w:num>
  <w:num w:numId="23">
    <w:abstractNumId w:val="9"/>
  </w:num>
  <w:num w:numId="24">
    <w:abstractNumId w:val="11"/>
  </w:num>
  <w:num w:numId="25">
    <w:abstractNumId w:val="17"/>
  </w:num>
  <w:num w:numId="26">
    <w:abstractNumId w:val="27"/>
  </w:num>
  <w:num w:numId="27">
    <w:abstractNumId w:val="10"/>
  </w:num>
  <w:num w:numId="28">
    <w:abstractNumId w:val="24"/>
  </w:num>
  <w:num w:numId="29">
    <w:abstractNumId w:val="8"/>
  </w:num>
  <w:num w:numId="30">
    <w:abstractNumId w:val="2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116EA"/>
    <w:rsid w:val="000203EA"/>
    <w:rsid w:val="0002371A"/>
    <w:rsid w:val="0003477B"/>
    <w:rsid w:val="00044B45"/>
    <w:rsid w:val="000641E9"/>
    <w:rsid w:val="00064BB7"/>
    <w:rsid w:val="000703AF"/>
    <w:rsid w:val="00081178"/>
    <w:rsid w:val="000A1384"/>
    <w:rsid w:val="000A74A8"/>
    <w:rsid w:val="000A76ED"/>
    <w:rsid w:val="000B2064"/>
    <w:rsid w:val="000D05DE"/>
    <w:rsid w:val="000F7E26"/>
    <w:rsid w:val="00106E02"/>
    <w:rsid w:val="00114860"/>
    <w:rsid w:val="00124B1F"/>
    <w:rsid w:val="001270B1"/>
    <w:rsid w:val="00134780"/>
    <w:rsid w:val="00147958"/>
    <w:rsid w:val="00154629"/>
    <w:rsid w:val="001615C8"/>
    <w:rsid w:val="00166D72"/>
    <w:rsid w:val="00172BA8"/>
    <w:rsid w:val="001A7C03"/>
    <w:rsid w:val="001B7693"/>
    <w:rsid w:val="001E62D5"/>
    <w:rsid w:val="001F4F24"/>
    <w:rsid w:val="002000F9"/>
    <w:rsid w:val="00202E61"/>
    <w:rsid w:val="00254D17"/>
    <w:rsid w:val="00261F2C"/>
    <w:rsid w:val="0026489A"/>
    <w:rsid w:val="0029081D"/>
    <w:rsid w:val="0029544E"/>
    <w:rsid w:val="002A0A15"/>
    <w:rsid w:val="002B4E2E"/>
    <w:rsid w:val="002B59C5"/>
    <w:rsid w:val="002F13AD"/>
    <w:rsid w:val="00304035"/>
    <w:rsid w:val="00322DA6"/>
    <w:rsid w:val="00322F2C"/>
    <w:rsid w:val="003244A1"/>
    <w:rsid w:val="00332810"/>
    <w:rsid w:val="00337BF5"/>
    <w:rsid w:val="00345670"/>
    <w:rsid w:val="00364949"/>
    <w:rsid w:val="0036508A"/>
    <w:rsid w:val="00366F60"/>
    <w:rsid w:val="00392D97"/>
    <w:rsid w:val="003A214A"/>
    <w:rsid w:val="003A388E"/>
    <w:rsid w:val="003C0588"/>
    <w:rsid w:val="003C68AC"/>
    <w:rsid w:val="003D133A"/>
    <w:rsid w:val="003D5974"/>
    <w:rsid w:val="003E1EE0"/>
    <w:rsid w:val="00422D8D"/>
    <w:rsid w:val="004256E3"/>
    <w:rsid w:val="00437D93"/>
    <w:rsid w:val="00437E34"/>
    <w:rsid w:val="004448B9"/>
    <w:rsid w:val="00447573"/>
    <w:rsid w:val="00490F5F"/>
    <w:rsid w:val="004A70CE"/>
    <w:rsid w:val="004B37B4"/>
    <w:rsid w:val="004C5DB5"/>
    <w:rsid w:val="004D38E0"/>
    <w:rsid w:val="004E312C"/>
    <w:rsid w:val="00513CB7"/>
    <w:rsid w:val="0051734D"/>
    <w:rsid w:val="00584043"/>
    <w:rsid w:val="005A110D"/>
    <w:rsid w:val="005B2131"/>
    <w:rsid w:val="005C384A"/>
    <w:rsid w:val="005C5BCB"/>
    <w:rsid w:val="005D4A8D"/>
    <w:rsid w:val="005D6FFC"/>
    <w:rsid w:val="005E2BD6"/>
    <w:rsid w:val="005E531B"/>
    <w:rsid w:val="005F735A"/>
    <w:rsid w:val="00600B2F"/>
    <w:rsid w:val="00605D8B"/>
    <w:rsid w:val="00613B8E"/>
    <w:rsid w:val="00621F09"/>
    <w:rsid w:val="00633D2F"/>
    <w:rsid w:val="00641F91"/>
    <w:rsid w:val="006540EF"/>
    <w:rsid w:val="00656A57"/>
    <w:rsid w:val="006622E6"/>
    <w:rsid w:val="006813F9"/>
    <w:rsid w:val="006925E8"/>
    <w:rsid w:val="00692DB2"/>
    <w:rsid w:val="006A2123"/>
    <w:rsid w:val="006A2E8A"/>
    <w:rsid w:val="006D219F"/>
    <w:rsid w:val="006E2ED6"/>
    <w:rsid w:val="00730667"/>
    <w:rsid w:val="00732CB9"/>
    <w:rsid w:val="007346C4"/>
    <w:rsid w:val="007354EB"/>
    <w:rsid w:val="007371F6"/>
    <w:rsid w:val="00743299"/>
    <w:rsid w:val="007440C3"/>
    <w:rsid w:val="0075415E"/>
    <w:rsid w:val="0075780B"/>
    <w:rsid w:val="00774EEF"/>
    <w:rsid w:val="00777139"/>
    <w:rsid w:val="007A0055"/>
    <w:rsid w:val="007A05D8"/>
    <w:rsid w:val="007A29D3"/>
    <w:rsid w:val="007A4034"/>
    <w:rsid w:val="007B5D1B"/>
    <w:rsid w:val="007C5418"/>
    <w:rsid w:val="007D4DDF"/>
    <w:rsid w:val="0080132D"/>
    <w:rsid w:val="00805547"/>
    <w:rsid w:val="0080706F"/>
    <w:rsid w:val="008207B9"/>
    <w:rsid w:val="00822073"/>
    <w:rsid w:val="00826844"/>
    <w:rsid w:val="0083337A"/>
    <w:rsid w:val="008373A9"/>
    <w:rsid w:val="008737D2"/>
    <w:rsid w:val="00876199"/>
    <w:rsid w:val="00885B5B"/>
    <w:rsid w:val="008B0774"/>
    <w:rsid w:val="008B7353"/>
    <w:rsid w:val="008C2313"/>
    <w:rsid w:val="008C37F7"/>
    <w:rsid w:val="008D627A"/>
    <w:rsid w:val="008F078C"/>
    <w:rsid w:val="008F236C"/>
    <w:rsid w:val="008F3D72"/>
    <w:rsid w:val="008F3E71"/>
    <w:rsid w:val="00901BE6"/>
    <w:rsid w:val="009277ED"/>
    <w:rsid w:val="00944863"/>
    <w:rsid w:val="00955F93"/>
    <w:rsid w:val="00971DDF"/>
    <w:rsid w:val="0098187C"/>
    <w:rsid w:val="009828C2"/>
    <w:rsid w:val="00997DAC"/>
    <w:rsid w:val="009A4C37"/>
    <w:rsid w:val="009A61E9"/>
    <w:rsid w:val="009B214E"/>
    <w:rsid w:val="009B28F8"/>
    <w:rsid w:val="009C621A"/>
    <w:rsid w:val="009D0542"/>
    <w:rsid w:val="009D1F35"/>
    <w:rsid w:val="009F0BCD"/>
    <w:rsid w:val="009F5A01"/>
    <w:rsid w:val="00A01F9B"/>
    <w:rsid w:val="00A066DB"/>
    <w:rsid w:val="00A114AA"/>
    <w:rsid w:val="00A25DE4"/>
    <w:rsid w:val="00A65C38"/>
    <w:rsid w:val="00A75885"/>
    <w:rsid w:val="00A818A7"/>
    <w:rsid w:val="00A85213"/>
    <w:rsid w:val="00A86195"/>
    <w:rsid w:val="00A96D2C"/>
    <w:rsid w:val="00AA01B4"/>
    <w:rsid w:val="00AB0E9E"/>
    <w:rsid w:val="00AB4338"/>
    <w:rsid w:val="00AC29FE"/>
    <w:rsid w:val="00AD226A"/>
    <w:rsid w:val="00AF1E1A"/>
    <w:rsid w:val="00AF4806"/>
    <w:rsid w:val="00B040DC"/>
    <w:rsid w:val="00B15459"/>
    <w:rsid w:val="00B263D1"/>
    <w:rsid w:val="00B3085E"/>
    <w:rsid w:val="00B4149F"/>
    <w:rsid w:val="00B43021"/>
    <w:rsid w:val="00B44BB4"/>
    <w:rsid w:val="00B461F7"/>
    <w:rsid w:val="00B51869"/>
    <w:rsid w:val="00B62EBA"/>
    <w:rsid w:val="00B700F8"/>
    <w:rsid w:val="00B87F5F"/>
    <w:rsid w:val="00B92D43"/>
    <w:rsid w:val="00BA34E5"/>
    <w:rsid w:val="00BA4E3E"/>
    <w:rsid w:val="00BA7D94"/>
    <w:rsid w:val="00BB2823"/>
    <w:rsid w:val="00BC51A2"/>
    <w:rsid w:val="00BD3C3B"/>
    <w:rsid w:val="00BE5410"/>
    <w:rsid w:val="00C16AAA"/>
    <w:rsid w:val="00C24F9E"/>
    <w:rsid w:val="00C33DD4"/>
    <w:rsid w:val="00C53995"/>
    <w:rsid w:val="00C57F5C"/>
    <w:rsid w:val="00C709AC"/>
    <w:rsid w:val="00C810DE"/>
    <w:rsid w:val="00C82E6B"/>
    <w:rsid w:val="00C90EBB"/>
    <w:rsid w:val="00C9299F"/>
    <w:rsid w:val="00CA36C0"/>
    <w:rsid w:val="00CB6FB1"/>
    <w:rsid w:val="00CE3686"/>
    <w:rsid w:val="00CE4CFE"/>
    <w:rsid w:val="00D063F8"/>
    <w:rsid w:val="00D10BDC"/>
    <w:rsid w:val="00D1733F"/>
    <w:rsid w:val="00D21C3D"/>
    <w:rsid w:val="00D30900"/>
    <w:rsid w:val="00D31EAC"/>
    <w:rsid w:val="00D32B48"/>
    <w:rsid w:val="00D564ED"/>
    <w:rsid w:val="00D60005"/>
    <w:rsid w:val="00D60D97"/>
    <w:rsid w:val="00D61854"/>
    <w:rsid w:val="00D74FEC"/>
    <w:rsid w:val="00D77C5D"/>
    <w:rsid w:val="00D82DDE"/>
    <w:rsid w:val="00D95208"/>
    <w:rsid w:val="00DB33E0"/>
    <w:rsid w:val="00DB7283"/>
    <w:rsid w:val="00DD3605"/>
    <w:rsid w:val="00DE3C20"/>
    <w:rsid w:val="00DE7223"/>
    <w:rsid w:val="00DF2A2E"/>
    <w:rsid w:val="00E113B5"/>
    <w:rsid w:val="00E1238D"/>
    <w:rsid w:val="00E1289F"/>
    <w:rsid w:val="00E16C2A"/>
    <w:rsid w:val="00E23050"/>
    <w:rsid w:val="00E24F39"/>
    <w:rsid w:val="00E31AE3"/>
    <w:rsid w:val="00E41383"/>
    <w:rsid w:val="00E45AE1"/>
    <w:rsid w:val="00E501C0"/>
    <w:rsid w:val="00E527DB"/>
    <w:rsid w:val="00E54BF6"/>
    <w:rsid w:val="00E81F75"/>
    <w:rsid w:val="00E900EF"/>
    <w:rsid w:val="00EA3020"/>
    <w:rsid w:val="00EB27B1"/>
    <w:rsid w:val="00EC6607"/>
    <w:rsid w:val="00EC6F35"/>
    <w:rsid w:val="00EE1A85"/>
    <w:rsid w:val="00F16034"/>
    <w:rsid w:val="00F23219"/>
    <w:rsid w:val="00F2586B"/>
    <w:rsid w:val="00F51011"/>
    <w:rsid w:val="00F535E6"/>
    <w:rsid w:val="00F55119"/>
    <w:rsid w:val="00F63A08"/>
    <w:rsid w:val="00F662F2"/>
    <w:rsid w:val="00F818CD"/>
    <w:rsid w:val="00FA134B"/>
    <w:rsid w:val="00FB3229"/>
    <w:rsid w:val="00FC22E9"/>
    <w:rsid w:val="00FC6C71"/>
    <w:rsid w:val="00FD003F"/>
    <w:rsid w:val="00FF3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115CD"/>
  <w15:docId w15:val="{385F55C6-C8B6-44DB-A816-ED12FA64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869"/>
    <w:pPr>
      <w:spacing w:after="0" w:line="240" w:lineRule="auto"/>
    </w:pPr>
    <w:rPr>
      <w:rFonts w:ascii="Arial" w:hAnsi="Arial"/>
      <w:sz w:val="20"/>
    </w:rPr>
  </w:style>
  <w:style w:type="paragraph" w:styleId="Ttulo1">
    <w:name w:val="heading 1"/>
    <w:basedOn w:val="Normal"/>
    <w:next w:val="Normal"/>
    <w:link w:val="Ttulo1Car"/>
    <w:autoRedefine/>
    <w:qFormat/>
    <w:rsid w:val="00E81F75"/>
    <w:pPr>
      <w:keepNext/>
      <w:outlineLvl w:val="0"/>
    </w:pPr>
    <w:rPr>
      <w:rFonts w:eastAsiaTheme="majorEastAsia" w:cs="Times New Roman"/>
      <w:b/>
      <w:color w:val="9E213D"/>
      <w:sz w:val="28"/>
      <w:szCs w:val="24"/>
      <w:lang w:eastAsia="es-ES"/>
    </w:rPr>
  </w:style>
  <w:style w:type="paragraph" w:styleId="Ttulo2">
    <w:name w:val="heading 2"/>
    <w:basedOn w:val="Normal"/>
    <w:next w:val="Normal"/>
    <w:link w:val="Ttulo2Car"/>
    <w:autoRedefine/>
    <w:uiPriority w:val="9"/>
    <w:qFormat/>
    <w:rsid w:val="00AB0E9E"/>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E81F75"/>
    <w:rPr>
      <w:rFonts w:ascii="Arial" w:eastAsiaTheme="majorEastAsia" w:hAnsi="Arial" w:cs="Times New Roman"/>
      <w:b/>
      <w:color w:val="9E213D"/>
      <w:sz w:val="28"/>
      <w:szCs w:val="24"/>
      <w:lang w:eastAsia="es-ES"/>
    </w:rPr>
  </w:style>
  <w:style w:type="character" w:customStyle="1" w:styleId="Ttulo2Car">
    <w:name w:val="Título 2 Car"/>
    <w:basedOn w:val="Fuentedeprrafopredeter"/>
    <w:link w:val="Ttulo2"/>
    <w:uiPriority w:val="9"/>
    <w:rsid w:val="00AB0E9E"/>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qFormat/>
    <w:rsid w:val="00E81F75"/>
    <w:pPr>
      <w:jc w:val="both"/>
    </w:pPr>
    <w:rPr>
      <w:rFonts w:eastAsia="Times New Roman" w:cs="Arial"/>
      <w:b/>
      <w:bCs/>
      <w:sz w:val="24"/>
      <w:szCs w:val="24"/>
      <w:lang w:val="es-ES" w:eastAsia="es-ES"/>
    </w:rPr>
  </w:style>
  <w:style w:type="character" w:customStyle="1" w:styleId="SubttuloCar">
    <w:name w:val="Subtítulo Car"/>
    <w:basedOn w:val="Fuentedeprrafopredeter"/>
    <w:link w:val="Subttulo"/>
    <w:rsid w:val="00E81F75"/>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E2DA-00D4-4D26-ADFD-EE7DC85A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3114</Words>
  <Characters>17128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2024-06-11T17:12:00Z</cp:lastPrinted>
  <dcterms:created xsi:type="dcterms:W3CDTF">2024-06-11T17:12:00Z</dcterms:created>
  <dcterms:modified xsi:type="dcterms:W3CDTF">2024-06-11T17:12:00Z</dcterms:modified>
</cp:coreProperties>
</file>