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3C558" w14:textId="77777777" w:rsidR="00367B2D" w:rsidRPr="00367B2D" w:rsidRDefault="00367B2D" w:rsidP="00367B2D">
      <w:pPr>
        <w:autoSpaceDE w:val="0"/>
        <w:autoSpaceDN w:val="0"/>
        <w:adjustRightInd w:val="0"/>
        <w:jc w:val="center"/>
        <w:rPr>
          <w:rFonts w:eastAsia="Calibri" w:cs="Arial"/>
          <w:b/>
          <w:color w:val="9E213D"/>
          <w:sz w:val="28"/>
          <w:szCs w:val="28"/>
        </w:rPr>
      </w:pPr>
      <w:r w:rsidRPr="00367B2D">
        <w:rPr>
          <w:rFonts w:eastAsia="Calibri" w:cs="Arial"/>
          <w:b/>
          <w:color w:val="9E213D"/>
          <w:sz w:val="28"/>
          <w:szCs w:val="28"/>
        </w:rPr>
        <w:t>Notas a los estados financieros consolidados</w:t>
      </w:r>
    </w:p>
    <w:p w14:paraId="2A3673B2" w14:textId="77777777" w:rsidR="00367B2D" w:rsidRPr="00367B2D" w:rsidRDefault="00367B2D" w:rsidP="00367B2D">
      <w:pPr>
        <w:jc w:val="center"/>
        <w:rPr>
          <w:rFonts w:eastAsia="Calibri" w:cs="Arial"/>
          <w:color w:val="9E213D"/>
          <w:sz w:val="24"/>
          <w:szCs w:val="24"/>
          <w:lang w:eastAsia="es-ES"/>
        </w:rPr>
      </w:pPr>
      <w:r w:rsidRPr="00367B2D">
        <w:rPr>
          <w:rFonts w:eastAsia="Calibri" w:cs="Arial"/>
          <w:color w:val="9E213D"/>
          <w:sz w:val="24"/>
          <w:szCs w:val="24"/>
          <w:lang w:eastAsia="es-ES"/>
        </w:rPr>
        <w:t>DEL 1 DE ENERO AL 31 DE MARZO DE 2024</w:t>
      </w:r>
    </w:p>
    <w:p w14:paraId="06014C62" w14:textId="77777777" w:rsidR="00367B2D" w:rsidRPr="00367B2D" w:rsidRDefault="00367B2D" w:rsidP="00367B2D">
      <w:pPr>
        <w:jc w:val="center"/>
        <w:rPr>
          <w:rFonts w:eastAsia="Calibri" w:cs="Arial"/>
          <w:color w:val="9E213D"/>
          <w:sz w:val="24"/>
          <w:szCs w:val="24"/>
          <w:lang w:eastAsia="es-ES"/>
        </w:rPr>
      </w:pPr>
      <w:r w:rsidRPr="00367B2D">
        <w:rPr>
          <w:rFonts w:eastAsia="Calibri" w:cs="Arial"/>
          <w:color w:val="9E213D"/>
          <w:sz w:val="24"/>
          <w:szCs w:val="24"/>
          <w:lang w:eastAsia="es-ES"/>
        </w:rPr>
        <w:t>(Cifras en pesos)</w:t>
      </w:r>
    </w:p>
    <w:p w14:paraId="7ADC0179" w14:textId="77777777" w:rsidR="00367B2D" w:rsidRPr="00367B2D" w:rsidRDefault="00367B2D" w:rsidP="00367B2D">
      <w:pPr>
        <w:jc w:val="both"/>
        <w:outlineLvl w:val="0"/>
        <w:rPr>
          <w:rFonts w:eastAsia="Calibri" w:cs="Arial"/>
          <w:szCs w:val="20"/>
        </w:rPr>
      </w:pPr>
      <w:bookmarkStart w:id="0" w:name="_Hlk117854077"/>
    </w:p>
    <w:bookmarkEnd w:id="0"/>
    <w:p w14:paraId="65316FCC" w14:textId="77777777" w:rsidR="00367B2D" w:rsidRPr="00367B2D" w:rsidRDefault="00367B2D" w:rsidP="00367B2D">
      <w:pPr>
        <w:rPr>
          <w:rFonts w:eastAsia="Calibri" w:cs="Times New Roman"/>
          <w:b/>
          <w:sz w:val="24"/>
          <w:szCs w:val="24"/>
          <w:lang w:eastAsia="es-ES"/>
        </w:rPr>
      </w:pPr>
      <w:r w:rsidRPr="00367B2D">
        <w:rPr>
          <w:rFonts w:eastAsia="Calibri" w:cs="Times New Roman"/>
          <w:b/>
          <w:sz w:val="24"/>
          <w:szCs w:val="24"/>
          <w:lang w:eastAsia="es-ES"/>
        </w:rPr>
        <w:t>Introducción</w:t>
      </w:r>
    </w:p>
    <w:p w14:paraId="349AD43B" w14:textId="77777777" w:rsidR="00367B2D" w:rsidRPr="00367B2D" w:rsidRDefault="00367B2D" w:rsidP="00367B2D">
      <w:pPr>
        <w:autoSpaceDE w:val="0"/>
        <w:autoSpaceDN w:val="0"/>
        <w:adjustRightInd w:val="0"/>
        <w:jc w:val="both"/>
        <w:rPr>
          <w:rFonts w:eastAsia="Times New Roman" w:cs="Arial"/>
          <w:bCs/>
          <w:iCs/>
          <w:szCs w:val="20"/>
          <w:lang w:val="es-ES" w:eastAsia="es-ES"/>
        </w:rPr>
      </w:pPr>
    </w:p>
    <w:p w14:paraId="32CC9D39" w14:textId="77777777" w:rsidR="00367B2D" w:rsidRPr="00367B2D" w:rsidRDefault="00367B2D" w:rsidP="00367B2D">
      <w:pPr>
        <w:autoSpaceDE w:val="0"/>
        <w:autoSpaceDN w:val="0"/>
        <w:adjustRightInd w:val="0"/>
        <w:jc w:val="both"/>
        <w:rPr>
          <w:rFonts w:eastAsia="Times New Roman" w:cs="Arial"/>
          <w:bCs/>
          <w:szCs w:val="20"/>
          <w:lang w:val="es-ES" w:eastAsia="es-ES"/>
        </w:rPr>
      </w:pPr>
      <w:r w:rsidRPr="00367B2D">
        <w:rPr>
          <w:rFonts w:eastAsia="Times New Roman" w:cs="Arial"/>
          <w:bCs/>
          <w:iCs/>
          <w:szCs w:val="20"/>
          <w:lang w:val="es-ES" w:eastAsia="es-ES"/>
        </w:rPr>
        <w:t>De Conformidad al artículo 46, fracción I, inciso g) y 49 de la Ley General de Contabilidad Gubernamental, así como a la normatividad emitida por el Consejo Nacional de Armonización Contable, a continuación, se presentan las notas a los estados financieros correspondiente al 31 de marzo de 2024, con los siguientes apartados:</w:t>
      </w:r>
    </w:p>
    <w:p w14:paraId="6EB8599D" w14:textId="77777777" w:rsidR="00367B2D" w:rsidRPr="00367B2D" w:rsidRDefault="00367B2D" w:rsidP="00367B2D">
      <w:pPr>
        <w:autoSpaceDE w:val="0"/>
        <w:autoSpaceDN w:val="0"/>
        <w:adjustRightInd w:val="0"/>
        <w:jc w:val="both"/>
        <w:rPr>
          <w:rFonts w:eastAsia="Times New Roman" w:cs="Arial"/>
          <w:bCs/>
          <w:szCs w:val="20"/>
          <w:lang w:val="es-ES" w:eastAsia="es-ES"/>
        </w:rPr>
      </w:pPr>
    </w:p>
    <w:p w14:paraId="3152C7EF" w14:textId="77777777" w:rsidR="00367B2D" w:rsidRPr="00367B2D" w:rsidRDefault="00367B2D" w:rsidP="00367B2D">
      <w:pPr>
        <w:numPr>
          <w:ilvl w:val="0"/>
          <w:numId w:val="36"/>
        </w:numPr>
        <w:autoSpaceDE w:val="0"/>
        <w:autoSpaceDN w:val="0"/>
        <w:adjustRightInd w:val="0"/>
        <w:spacing w:after="120"/>
        <w:ind w:left="357" w:hanging="357"/>
        <w:jc w:val="both"/>
        <w:rPr>
          <w:rFonts w:eastAsia="Calibri" w:cs="Times New Roman"/>
          <w:bCs/>
          <w:iCs/>
          <w:szCs w:val="20"/>
        </w:rPr>
      </w:pPr>
      <w:r w:rsidRPr="00367B2D">
        <w:rPr>
          <w:rFonts w:eastAsia="Calibri" w:cs="Times New Roman"/>
          <w:bCs/>
          <w:iCs/>
          <w:szCs w:val="20"/>
        </w:rPr>
        <w:t>Notas de gestión administrativa,</w:t>
      </w:r>
    </w:p>
    <w:p w14:paraId="4FCCE4E1" w14:textId="77777777" w:rsidR="00367B2D" w:rsidRPr="00367B2D" w:rsidRDefault="00367B2D" w:rsidP="00367B2D">
      <w:pPr>
        <w:numPr>
          <w:ilvl w:val="0"/>
          <w:numId w:val="36"/>
        </w:numPr>
        <w:autoSpaceDE w:val="0"/>
        <w:autoSpaceDN w:val="0"/>
        <w:adjustRightInd w:val="0"/>
        <w:spacing w:after="120"/>
        <w:ind w:left="357" w:hanging="357"/>
        <w:jc w:val="both"/>
        <w:rPr>
          <w:rFonts w:eastAsia="Calibri" w:cs="Times New Roman"/>
          <w:bCs/>
          <w:iCs/>
          <w:szCs w:val="20"/>
        </w:rPr>
      </w:pPr>
      <w:r w:rsidRPr="00367B2D">
        <w:rPr>
          <w:rFonts w:eastAsia="Calibri" w:cs="Times New Roman"/>
          <w:bCs/>
          <w:iCs/>
          <w:szCs w:val="20"/>
        </w:rPr>
        <w:t>Notas de desglose, y</w:t>
      </w:r>
    </w:p>
    <w:p w14:paraId="02756967" w14:textId="77777777" w:rsidR="00367B2D" w:rsidRPr="00367B2D" w:rsidRDefault="00367B2D" w:rsidP="00367B2D">
      <w:pPr>
        <w:numPr>
          <w:ilvl w:val="0"/>
          <w:numId w:val="36"/>
        </w:numPr>
        <w:autoSpaceDE w:val="0"/>
        <w:autoSpaceDN w:val="0"/>
        <w:adjustRightInd w:val="0"/>
        <w:spacing w:after="120"/>
        <w:ind w:left="357" w:hanging="357"/>
        <w:jc w:val="both"/>
        <w:rPr>
          <w:rFonts w:eastAsia="Calibri" w:cs="Times New Roman"/>
          <w:bCs/>
          <w:iCs/>
          <w:szCs w:val="20"/>
        </w:rPr>
      </w:pPr>
      <w:r w:rsidRPr="00367B2D">
        <w:rPr>
          <w:rFonts w:eastAsia="Calibri" w:cs="Times New Roman"/>
          <w:bCs/>
          <w:iCs/>
          <w:szCs w:val="20"/>
        </w:rPr>
        <w:t>Notas de memoria (cuentas de orden)</w:t>
      </w:r>
    </w:p>
    <w:p w14:paraId="6D5949D7" w14:textId="77777777" w:rsidR="00367B2D" w:rsidRPr="00367B2D" w:rsidRDefault="00367B2D" w:rsidP="00367B2D">
      <w:pPr>
        <w:autoSpaceDE w:val="0"/>
        <w:autoSpaceDN w:val="0"/>
        <w:adjustRightInd w:val="0"/>
        <w:jc w:val="both"/>
        <w:rPr>
          <w:rFonts w:eastAsia="Times New Roman" w:cs="Arial"/>
          <w:bCs/>
          <w:szCs w:val="20"/>
          <w:lang w:val="es-ES" w:eastAsia="es-ES"/>
        </w:rPr>
      </w:pPr>
    </w:p>
    <w:p w14:paraId="1572AA82" w14:textId="77777777" w:rsidR="00367B2D" w:rsidRPr="00367B2D" w:rsidRDefault="00367B2D" w:rsidP="00367B2D">
      <w:pPr>
        <w:jc w:val="both"/>
        <w:rPr>
          <w:rFonts w:eastAsia="Times New Roman" w:cs="Arial"/>
          <w:iCs/>
          <w:szCs w:val="20"/>
          <w:lang w:val="es-ES" w:eastAsia="es-ES"/>
        </w:rPr>
      </w:pPr>
      <w:r w:rsidRPr="00367B2D">
        <w:rPr>
          <w:rFonts w:eastAsia="Times New Roman" w:cs="Arial"/>
          <w:iCs/>
          <w:szCs w:val="20"/>
          <w:lang w:val="es-ES" w:eastAsia="es-ES"/>
        </w:rPr>
        <w:t xml:space="preserve">Las cifras mostradas al 31 de marzo de 2024,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 </w:t>
      </w:r>
    </w:p>
    <w:p w14:paraId="6B03E8E8" w14:textId="77777777" w:rsidR="00367B2D" w:rsidRPr="00367B2D" w:rsidRDefault="00367B2D" w:rsidP="00367B2D">
      <w:pPr>
        <w:autoSpaceDE w:val="0"/>
        <w:autoSpaceDN w:val="0"/>
        <w:adjustRightInd w:val="0"/>
        <w:jc w:val="both"/>
        <w:rPr>
          <w:rFonts w:eastAsia="Times New Roman" w:cs="Arial"/>
          <w:bCs/>
          <w:szCs w:val="20"/>
          <w:lang w:val="es-ES" w:eastAsia="es-ES"/>
        </w:rPr>
      </w:pPr>
    </w:p>
    <w:p w14:paraId="100B0884" w14:textId="77777777" w:rsidR="00367B2D" w:rsidRPr="00367B2D" w:rsidRDefault="00367B2D" w:rsidP="00367B2D">
      <w:pPr>
        <w:autoSpaceDE w:val="0"/>
        <w:autoSpaceDN w:val="0"/>
        <w:adjustRightInd w:val="0"/>
        <w:jc w:val="both"/>
        <w:rPr>
          <w:rFonts w:eastAsia="Times New Roman" w:cs="Arial"/>
          <w:bCs/>
          <w:szCs w:val="20"/>
          <w:lang w:val="es-ES" w:eastAsia="es-ES"/>
        </w:rPr>
      </w:pPr>
    </w:p>
    <w:p w14:paraId="125269BA" w14:textId="77777777" w:rsidR="00367B2D" w:rsidRPr="00367B2D" w:rsidRDefault="00367B2D" w:rsidP="00367B2D">
      <w:pPr>
        <w:rPr>
          <w:rFonts w:eastAsia="Calibri" w:cs="Times New Roman"/>
          <w:b/>
          <w:sz w:val="24"/>
          <w:szCs w:val="24"/>
          <w:lang w:eastAsia="es-ES"/>
        </w:rPr>
      </w:pPr>
      <w:r w:rsidRPr="00367B2D">
        <w:rPr>
          <w:rFonts w:eastAsia="Calibri" w:cs="Times New Roman"/>
          <w:b/>
          <w:sz w:val="24"/>
          <w:szCs w:val="24"/>
          <w:lang w:eastAsia="es-ES"/>
        </w:rPr>
        <w:t xml:space="preserve">Notas de gestión administrativa </w:t>
      </w:r>
    </w:p>
    <w:p w14:paraId="7EAEB9C4" w14:textId="77777777" w:rsidR="00367B2D" w:rsidRPr="00367B2D" w:rsidRDefault="00367B2D" w:rsidP="00367B2D">
      <w:pPr>
        <w:autoSpaceDE w:val="0"/>
        <w:autoSpaceDN w:val="0"/>
        <w:adjustRightInd w:val="0"/>
        <w:jc w:val="both"/>
        <w:rPr>
          <w:rFonts w:eastAsia="Calibri" w:cs="Times New Roman"/>
        </w:rPr>
      </w:pPr>
    </w:p>
    <w:p w14:paraId="1019930F"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Las notas de gestión administrativa consolidados de los Órganos Autónomos se integran con la información del Instituto de Elecciones y Participación Ciudadana, Comisión Estatal de los Derechos Humanos, Fiscalía General del Estado, Tribunal Electoral del Estado de Chiapas, Instituto de Transparencia, Acceso a la Información y Protección de Datos Personales del Estado de Chiapas y de la Universidad Autónoma de Chiapas, mismas que podrán ser consultadas en la información de cada ente público.</w:t>
      </w:r>
    </w:p>
    <w:p w14:paraId="402B6DDB"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5D22485E" w14:textId="77777777" w:rsidR="00367B2D" w:rsidRPr="00367B2D" w:rsidRDefault="00367B2D" w:rsidP="00367B2D">
      <w:pPr>
        <w:autoSpaceDE w:val="0"/>
        <w:autoSpaceDN w:val="0"/>
        <w:adjustRightInd w:val="0"/>
        <w:jc w:val="both"/>
        <w:rPr>
          <w:rFonts w:eastAsia="Times New Roman" w:cs="Arial"/>
          <w:bCs/>
          <w:szCs w:val="20"/>
          <w:lang w:val="es-ES" w:eastAsia="es-ES"/>
        </w:rPr>
      </w:pPr>
    </w:p>
    <w:p w14:paraId="073F27E0" w14:textId="77777777" w:rsidR="00367B2D" w:rsidRPr="00367B2D" w:rsidRDefault="00367B2D" w:rsidP="00367B2D">
      <w:pPr>
        <w:rPr>
          <w:rFonts w:eastAsia="Calibri" w:cs="Times New Roman"/>
          <w:b/>
          <w:sz w:val="24"/>
          <w:szCs w:val="24"/>
          <w:lang w:eastAsia="es-ES"/>
        </w:rPr>
      </w:pPr>
      <w:bookmarkStart w:id="1" w:name="_Hlk125467046"/>
      <w:r w:rsidRPr="00367B2D">
        <w:rPr>
          <w:rFonts w:eastAsia="Calibri" w:cs="Times New Roman"/>
          <w:b/>
          <w:sz w:val="24"/>
          <w:szCs w:val="24"/>
          <w:lang w:eastAsia="es-ES"/>
        </w:rPr>
        <w:t>Notas de desglose</w:t>
      </w:r>
    </w:p>
    <w:p w14:paraId="1CE97B2B"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4426DC57" w14:textId="77777777" w:rsidR="00367B2D" w:rsidRPr="00367B2D" w:rsidRDefault="00367B2D" w:rsidP="00367B2D">
      <w:pPr>
        <w:jc w:val="both"/>
        <w:rPr>
          <w:rFonts w:eastAsia="Calibri" w:cs="Arial"/>
          <w:b/>
          <w:bCs/>
          <w:caps/>
          <w:szCs w:val="20"/>
          <w:lang w:val="es-ES" w:eastAsia="es-ES"/>
        </w:rPr>
      </w:pPr>
      <w:r w:rsidRPr="00367B2D">
        <w:rPr>
          <w:rFonts w:eastAsia="Calibri" w:cs="Arial"/>
          <w:b/>
          <w:bCs/>
          <w:szCs w:val="20"/>
          <w:lang w:val="es-ES" w:eastAsia="es-ES"/>
        </w:rPr>
        <w:t>Notas al estado de actividades</w:t>
      </w:r>
    </w:p>
    <w:p w14:paraId="21DFC688" w14:textId="77777777" w:rsidR="00367B2D" w:rsidRPr="00367B2D" w:rsidRDefault="00367B2D" w:rsidP="00367B2D">
      <w:pPr>
        <w:jc w:val="both"/>
        <w:outlineLvl w:val="0"/>
        <w:rPr>
          <w:rFonts w:eastAsia="Calibri" w:cs="Times New Roman"/>
        </w:rPr>
      </w:pPr>
    </w:p>
    <w:p w14:paraId="20D0097A"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El resultado obtenido del 1 de enero al 31 de marzo de 2024, representa un ahorro de $ 659,721,412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68085E64" w14:textId="77777777" w:rsidR="00367B2D" w:rsidRPr="00367B2D" w:rsidRDefault="00367B2D" w:rsidP="00367B2D">
      <w:pPr>
        <w:jc w:val="both"/>
        <w:rPr>
          <w:rFonts w:eastAsia="Calibri" w:cs="Arial"/>
          <w:b/>
          <w:bCs/>
          <w:szCs w:val="20"/>
          <w:lang w:val="es-ES" w:eastAsia="es-ES"/>
        </w:rPr>
      </w:pPr>
    </w:p>
    <w:p w14:paraId="241A10B3" w14:textId="77777777"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t>Ingresos y otros beneficios</w:t>
      </w:r>
    </w:p>
    <w:p w14:paraId="16FF6BDC"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5FD99FAD"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 xml:space="preserve">Los ingresos ascienden a $ 1,767,405,464 pesos, integrado principalmente por los ingresos recibidos a través de Transferencias, Asignaciones, Subsidios y Subvenciones, Pensiones y Jubilaciones, así como, por Venta de Bienes y Prestación de Servicios por concepto de colegiaturas, </w:t>
      </w:r>
      <w:proofErr w:type="spellStart"/>
      <w:r w:rsidRPr="00367B2D">
        <w:rPr>
          <w:rFonts w:eastAsia="Times New Roman" w:cs="Arial"/>
          <w:iCs/>
          <w:szCs w:val="20"/>
          <w:lang w:val="es-ES" w:eastAsia="es-ES"/>
        </w:rPr>
        <w:t>inscripciónes</w:t>
      </w:r>
      <w:proofErr w:type="spellEnd"/>
      <w:r w:rsidRPr="00367B2D">
        <w:rPr>
          <w:rFonts w:eastAsia="Times New Roman" w:cs="Arial"/>
          <w:iCs/>
          <w:szCs w:val="20"/>
          <w:lang w:val="es-ES" w:eastAsia="es-ES"/>
        </w:rPr>
        <w:t xml:space="preserve"> y exámenes. </w:t>
      </w:r>
    </w:p>
    <w:p w14:paraId="3ACF9800"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4906FDE8"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Se integran también dentro de este rubro los rendimientos bancarios, diferencias a favor en el pago de impuestos, apertura de cuentas bancarias reintegros, redondeos y por diferencias.</w:t>
      </w:r>
    </w:p>
    <w:p w14:paraId="2C47992E"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51CC42C4" w14:textId="77777777"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t>Gastos y otras pérdidas</w:t>
      </w:r>
    </w:p>
    <w:p w14:paraId="242A36DE"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02879814"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Los gastos y otras pérdidas son aquellas cuentas que registran los gastos de funcionamiento de los Órganos Autónomos, y las Transferencias, Asignaciones, Subsidios y Otras Ayudas, aplicados en proyectos a favor de la ciudadanía.</w:t>
      </w:r>
    </w:p>
    <w:p w14:paraId="26E1D7F0"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4125CD29" w14:textId="77777777" w:rsidR="00367B2D" w:rsidRPr="00367B2D" w:rsidRDefault="00367B2D" w:rsidP="00367B2D">
      <w:pPr>
        <w:jc w:val="both"/>
        <w:outlineLvl w:val="0"/>
        <w:rPr>
          <w:rFonts w:eastAsia="Times New Roman" w:cs="Arial"/>
          <w:iCs/>
          <w:szCs w:val="20"/>
          <w:lang w:val="es-ES" w:eastAsia="es-ES"/>
        </w:rPr>
      </w:pPr>
      <w:r w:rsidRPr="00367B2D">
        <w:rPr>
          <w:rFonts w:eastAsia="Times New Roman" w:cs="Arial"/>
          <w:iCs/>
          <w:szCs w:val="20"/>
          <w:lang w:val="es-ES" w:eastAsia="es-ES"/>
        </w:rPr>
        <w:t>Se incluyen dentro de este rubro, el registro por pérdida, obsolescencia y deterioro de bienes muebles, así como, el registro de aquellos bienes enajenables e inventariables, cuyo costo unitario de adquisición no sobrepasa 70 veces el valor de la Unidad de Medida y Actualización (UMA), al 31 de marzo de 2024.</w:t>
      </w:r>
    </w:p>
    <w:p w14:paraId="423516B7"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lastRenderedPageBreak/>
        <w:t>Este rubro asciende a un importe de $ 1,107,684,052 pesos.</w:t>
      </w:r>
    </w:p>
    <w:p w14:paraId="09B538A2"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084A63A4" w14:textId="77777777" w:rsidR="00367B2D" w:rsidRPr="00367B2D" w:rsidRDefault="00367B2D" w:rsidP="00367B2D">
      <w:pPr>
        <w:jc w:val="both"/>
        <w:rPr>
          <w:rFonts w:eastAsia="Calibri" w:cs="Arial"/>
          <w:b/>
          <w:bCs/>
          <w:caps/>
          <w:szCs w:val="20"/>
          <w:lang w:val="es-ES" w:eastAsia="es-ES"/>
        </w:rPr>
      </w:pPr>
      <w:r w:rsidRPr="00367B2D">
        <w:rPr>
          <w:rFonts w:eastAsia="Calibri" w:cs="Arial"/>
          <w:b/>
          <w:bCs/>
          <w:szCs w:val="20"/>
          <w:lang w:val="es-ES" w:eastAsia="es-ES"/>
        </w:rPr>
        <w:t>Notas al estado de situación financiera</w:t>
      </w:r>
    </w:p>
    <w:p w14:paraId="28DD3451" w14:textId="77777777" w:rsidR="00367B2D" w:rsidRPr="00367B2D" w:rsidRDefault="00367B2D" w:rsidP="00367B2D">
      <w:pPr>
        <w:jc w:val="both"/>
        <w:rPr>
          <w:rFonts w:eastAsia="Calibri" w:cs="Arial"/>
          <w:b/>
          <w:bCs/>
          <w:szCs w:val="20"/>
          <w:lang w:val="es-ES" w:eastAsia="es-ES"/>
        </w:rPr>
      </w:pPr>
    </w:p>
    <w:p w14:paraId="492CC192" w14:textId="77777777"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t>Activo</w:t>
      </w:r>
    </w:p>
    <w:p w14:paraId="550AD614" w14:textId="77777777" w:rsidR="00367B2D" w:rsidRPr="00367B2D" w:rsidRDefault="00367B2D" w:rsidP="00367B2D">
      <w:pPr>
        <w:jc w:val="both"/>
        <w:rPr>
          <w:rFonts w:eastAsia="Calibri" w:cs="Arial"/>
          <w:szCs w:val="20"/>
        </w:rPr>
      </w:pPr>
    </w:p>
    <w:bookmarkEnd w:id="1"/>
    <w:p w14:paraId="1BC3A784" w14:textId="77777777" w:rsidR="00367B2D" w:rsidRPr="00367B2D" w:rsidRDefault="00367B2D" w:rsidP="00367B2D">
      <w:pPr>
        <w:jc w:val="both"/>
        <w:rPr>
          <w:rFonts w:eastAsia="Times New Roman" w:cs="Arial"/>
          <w:iCs/>
          <w:szCs w:val="20"/>
          <w:lang w:val="es-ES" w:eastAsia="es-ES"/>
        </w:rPr>
      </w:pPr>
      <w:r w:rsidRPr="00367B2D">
        <w:rPr>
          <w:rFonts w:eastAsia="Times New Roman" w:cs="Arial"/>
          <w:iCs/>
          <w:szCs w:val="20"/>
          <w:lang w:val="es-ES" w:eastAsia="es-ES"/>
        </w:rPr>
        <w:t>El activo se compone de los fondos, valores, derechos y bienes cuantificados en términos monetarios, los cuales controlan y disponen los Órganos Autónomos para la prestación de servicios públicos, este se integra como sigue:</w:t>
      </w:r>
    </w:p>
    <w:p w14:paraId="3BFE3C29" w14:textId="524AA8CB" w:rsidR="00367B2D" w:rsidRDefault="00367B2D" w:rsidP="00367B2D">
      <w:pPr>
        <w:jc w:val="both"/>
        <w:outlineLvl w:val="0"/>
        <w:rPr>
          <w:rFonts w:eastAsia="Times New Roman" w:cs="Arial"/>
          <w:b/>
          <w:bCs/>
          <w:iCs/>
          <w:szCs w:val="20"/>
          <w:lang w:val="es-ES" w:eastAsia="es-ES"/>
        </w:rPr>
      </w:pPr>
    </w:p>
    <w:p w14:paraId="1C7A1BB6" w14:textId="77777777" w:rsidR="00367B2D" w:rsidRPr="00367B2D" w:rsidRDefault="00367B2D" w:rsidP="00367B2D">
      <w:pPr>
        <w:jc w:val="both"/>
        <w:rPr>
          <w:rFonts w:eastAsia="Calibri" w:cs="Arial"/>
          <w:b/>
          <w:bCs/>
          <w:szCs w:val="20"/>
          <w:lang w:val="es-ES" w:eastAsia="es-ES"/>
        </w:rPr>
      </w:pPr>
      <w:bookmarkStart w:id="2" w:name="_Hlk125467084"/>
      <w:r w:rsidRPr="00367B2D">
        <w:rPr>
          <w:rFonts w:eastAsia="Calibri" w:cs="Arial"/>
          <w:b/>
          <w:bCs/>
          <w:szCs w:val="20"/>
          <w:lang w:val="es-ES" w:eastAsia="es-ES"/>
        </w:rPr>
        <w:t>Circulante</w:t>
      </w:r>
    </w:p>
    <w:bookmarkEnd w:id="2"/>
    <w:p w14:paraId="1385D5C9" w14:textId="77777777" w:rsidR="00367B2D" w:rsidRPr="00367B2D" w:rsidRDefault="00367B2D" w:rsidP="00367B2D">
      <w:pPr>
        <w:jc w:val="both"/>
        <w:rPr>
          <w:rFonts w:eastAsia="Calibri" w:cs="Times New Roman"/>
        </w:rPr>
      </w:pPr>
    </w:p>
    <w:p w14:paraId="10672A22" w14:textId="77777777" w:rsidR="00367B2D" w:rsidRPr="00367B2D" w:rsidRDefault="00367B2D" w:rsidP="00367B2D">
      <w:pPr>
        <w:autoSpaceDE w:val="0"/>
        <w:autoSpaceDN w:val="0"/>
        <w:adjustRightInd w:val="0"/>
        <w:jc w:val="center"/>
        <w:rPr>
          <w:rFonts w:eastAsia="Times New Roman" w:cs="Arial"/>
          <w:b/>
          <w:bCs/>
          <w:iCs/>
          <w:szCs w:val="20"/>
          <w:lang w:val="es-ES" w:eastAsia="es-ES"/>
        </w:rPr>
      </w:pPr>
      <w:r w:rsidRPr="00367B2D">
        <w:rPr>
          <w:rFonts w:ascii="Calibri" w:eastAsia="Calibri" w:hAnsi="Calibri" w:cs="Times New Roman"/>
          <w:noProof/>
          <w:sz w:val="22"/>
          <w:lang w:eastAsia="es-MX"/>
        </w:rPr>
        <w:drawing>
          <wp:inline distT="0" distB="0" distL="0" distR="0" wp14:anchorId="74A35306" wp14:editId="38B4F482">
            <wp:extent cx="3075305" cy="291936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305" cy="2919369"/>
                    </a:xfrm>
                    <a:prstGeom prst="rect">
                      <a:avLst/>
                    </a:prstGeom>
                    <a:noFill/>
                    <a:ln>
                      <a:noFill/>
                    </a:ln>
                  </pic:spPr>
                </pic:pic>
              </a:graphicData>
            </a:graphic>
          </wp:inline>
        </w:drawing>
      </w:r>
    </w:p>
    <w:p w14:paraId="60C810F9"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p>
    <w:p w14:paraId="76400A41"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p>
    <w:p w14:paraId="11D64BBD" w14:textId="77777777" w:rsidR="00367B2D" w:rsidRPr="00367B2D" w:rsidRDefault="00367B2D" w:rsidP="00367B2D">
      <w:pPr>
        <w:autoSpaceDE w:val="0"/>
        <w:autoSpaceDN w:val="0"/>
        <w:adjustRightInd w:val="0"/>
        <w:jc w:val="both"/>
        <w:rPr>
          <w:rFonts w:eastAsia="Times New Roman" w:cs="Arial"/>
          <w:b/>
          <w:bCs/>
          <w:i/>
          <w:szCs w:val="20"/>
          <w:u w:val="single"/>
          <w:lang w:val="es-ES" w:eastAsia="es-ES"/>
        </w:rPr>
      </w:pPr>
      <w:r w:rsidRPr="00367B2D">
        <w:rPr>
          <w:rFonts w:eastAsia="Times New Roman" w:cs="Arial"/>
          <w:b/>
          <w:bCs/>
          <w:i/>
          <w:iCs/>
          <w:szCs w:val="20"/>
          <w:u w:val="single"/>
          <w:lang w:val="es-ES" w:eastAsia="es-ES"/>
        </w:rPr>
        <w:t>Efectivo y equivalentes</w:t>
      </w:r>
    </w:p>
    <w:p w14:paraId="65244954" w14:textId="77777777" w:rsidR="00367B2D" w:rsidRPr="00367B2D" w:rsidRDefault="00367B2D" w:rsidP="00367B2D">
      <w:pPr>
        <w:autoSpaceDE w:val="0"/>
        <w:autoSpaceDN w:val="0"/>
        <w:adjustRightInd w:val="0"/>
        <w:jc w:val="both"/>
        <w:rPr>
          <w:rFonts w:eastAsia="Times New Roman" w:cs="Arial"/>
          <w:bCs/>
          <w:szCs w:val="20"/>
          <w:lang w:val="es-ES" w:eastAsia="es-ES"/>
        </w:rPr>
      </w:pPr>
    </w:p>
    <w:p w14:paraId="3C1E1A25"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Este rubro presenta una cifra de $ 1,258,625,528 pesos, y representa el 97 % del activo circulante, el cual se integra por la disponibilidad financiera para cubrir los compromisos de pago a diversos proveedores y prestadores de servicios, sueldos y salarios, aguinaldo devengado no pagado, aportaciones patronales al IMSS e INFONAVIT, 2 % del impuesto sobre nóminas, así como, retenciones por pagar.</w:t>
      </w:r>
    </w:p>
    <w:p w14:paraId="69DDD63B"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7E7078A3"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También se registra en este rubro lo siguiente:</w:t>
      </w:r>
    </w:p>
    <w:p w14:paraId="3BD0F1F0"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59DE4D3E" w14:textId="77777777" w:rsidR="00367B2D" w:rsidRPr="00367B2D" w:rsidRDefault="00367B2D" w:rsidP="00367B2D">
      <w:pPr>
        <w:numPr>
          <w:ilvl w:val="0"/>
          <w:numId w:val="35"/>
        </w:numPr>
        <w:spacing w:after="120"/>
        <w:ind w:left="357" w:hanging="357"/>
        <w:jc w:val="both"/>
        <w:outlineLvl w:val="0"/>
        <w:rPr>
          <w:rFonts w:eastAsia="Calibri" w:cs="Times New Roman"/>
          <w:szCs w:val="20"/>
        </w:rPr>
      </w:pPr>
      <w:r w:rsidRPr="00367B2D">
        <w:rPr>
          <w:rFonts w:eastAsia="Calibri" w:cs="Times New Roman"/>
          <w:szCs w:val="20"/>
        </w:rPr>
        <w:t xml:space="preserve">Los recursos colocados en inversiones en mesa de dinero. </w:t>
      </w:r>
    </w:p>
    <w:p w14:paraId="4046212F" w14:textId="77777777" w:rsidR="00367B2D" w:rsidRPr="00367B2D" w:rsidRDefault="00367B2D" w:rsidP="00367B2D">
      <w:pPr>
        <w:numPr>
          <w:ilvl w:val="0"/>
          <w:numId w:val="37"/>
        </w:numPr>
        <w:spacing w:after="120"/>
        <w:ind w:left="357" w:hanging="357"/>
        <w:jc w:val="both"/>
        <w:rPr>
          <w:rFonts w:eastAsia="Calibri" w:cs="Times New Roman"/>
          <w:szCs w:val="20"/>
        </w:rPr>
      </w:pPr>
      <w:r w:rsidRPr="00367B2D">
        <w:rPr>
          <w:rFonts w:eastAsia="Calibri" w:cs="Times New Roman"/>
          <w:szCs w:val="20"/>
        </w:rPr>
        <w:t>Los depósitos otorgados a terceros por el servicio de arrendamiento de instalaciones o equipos indispensables para el funcionamiento de los entes públicos que conforman a los Órganos Autónomos.</w:t>
      </w:r>
    </w:p>
    <w:p w14:paraId="5D73E3DC" w14:textId="77777777" w:rsidR="00367B2D" w:rsidRPr="00367B2D" w:rsidRDefault="00367B2D" w:rsidP="00367B2D">
      <w:pPr>
        <w:numPr>
          <w:ilvl w:val="0"/>
          <w:numId w:val="25"/>
        </w:numPr>
        <w:spacing w:after="120"/>
        <w:ind w:left="357" w:hanging="357"/>
        <w:jc w:val="both"/>
        <w:rPr>
          <w:rFonts w:eastAsia="MS Mincho" w:cs="Times New Roman"/>
          <w:szCs w:val="20"/>
        </w:rPr>
      </w:pPr>
      <w:r w:rsidRPr="00367B2D">
        <w:rPr>
          <w:rFonts w:eastAsia="Calibri" w:cs="Times New Roman"/>
          <w:szCs w:val="20"/>
        </w:rPr>
        <w:t>Los depósitos en garantía por servicios básicos y comerciales: Radio Móvil Dipsa S.A. de C.V. y Comisión Federal de Electricidad (CFE).</w:t>
      </w:r>
    </w:p>
    <w:p w14:paraId="41F95C51"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lastRenderedPageBreak/>
        <w:drawing>
          <wp:inline distT="0" distB="0" distL="0" distR="0" wp14:anchorId="1114E54A" wp14:editId="2755B5B7">
            <wp:extent cx="3729600" cy="1769787"/>
            <wp:effectExtent l="0" t="0" r="4445"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9600" cy="1769787"/>
                    </a:xfrm>
                    <a:prstGeom prst="rect">
                      <a:avLst/>
                    </a:prstGeom>
                    <a:noFill/>
                    <a:ln>
                      <a:noFill/>
                    </a:ln>
                  </pic:spPr>
                </pic:pic>
              </a:graphicData>
            </a:graphic>
          </wp:inline>
        </w:drawing>
      </w:r>
    </w:p>
    <w:p w14:paraId="165770C3"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338D9A72"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5A6AC454"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r w:rsidRPr="00367B2D">
        <w:rPr>
          <w:rFonts w:eastAsia="Times New Roman" w:cs="Arial"/>
          <w:b/>
          <w:bCs/>
          <w:i/>
          <w:iCs/>
          <w:szCs w:val="20"/>
          <w:u w:val="single"/>
          <w:lang w:val="es-ES" w:eastAsia="es-ES"/>
        </w:rPr>
        <w:t>Derechos a recibir efectivo o equivalentes</w:t>
      </w:r>
    </w:p>
    <w:p w14:paraId="4CFABE34" w14:textId="77777777" w:rsidR="00367B2D" w:rsidRPr="00367B2D" w:rsidRDefault="00367B2D" w:rsidP="00367B2D">
      <w:pPr>
        <w:autoSpaceDE w:val="0"/>
        <w:autoSpaceDN w:val="0"/>
        <w:adjustRightInd w:val="0"/>
        <w:jc w:val="both"/>
        <w:rPr>
          <w:rFonts w:eastAsia="Times New Roman" w:cs="Arial"/>
          <w:b/>
          <w:bCs/>
          <w:i/>
          <w:iCs/>
          <w:szCs w:val="20"/>
          <w:lang w:val="es-ES" w:eastAsia="es-ES"/>
        </w:rPr>
      </w:pPr>
    </w:p>
    <w:p w14:paraId="4A5FBC1D" w14:textId="77777777" w:rsidR="00367B2D" w:rsidRPr="00367B2D" w:rsidRDefault="00367B2D" w:rsidP="00367B2D">
      <w:pPr>
        <w:jc w:val="both"/>
        <w:rPr>
          <w:rFonts w:eastAsia="Arial" w:cs="Arial"/>
          <w:iCs/>
          <w:szCs w:val="20"/>
          <w:lang w:val="es-ES" w:eastAsia="es-ES"/>
        </w:rPr>
      </w:pPr>
      <w:r w:rsidRPr="00367B2D">
        <w:rPr>
          <w:rFonts w:eastAsia="Arial" w:cs="Arial"/>
          <w:iCs/>
          <w:szCs w:val="20"/>
          <w:lang w:val="es-ES" w:eastAsia="es-ES"/>
        </w:rPr>
        <w:t>Este rubro se integra principalmente por el manejo de los recursos financieros del Fondo de Aportaciones para la Seguridad Pública (FASP), así como, por las transferencias internas de recursos por depositar a entes públicos, que conforman los Órganos Autónomos.</w:t>
      </w:r>
    </w:p>
    <w:p w14:paraId="55C07B9A" w14:textId="77777777" w:rsidR="00367B2D" w:rsidRPr="00367B2D" w:rsidRDefault="00367B2D" w:rsidP="00367B2D">
      <w:pPr>
        <w:autoSpaceDE w:val="0"/>
        <w:autoSpaceDN w:val="0"/>
        <w:adjustRightInd w:val="0"/>
        <w:jc w:val="both"/>
        <w:rPr>
          <w:rFonts w:eastAsia="Arial" w:cs="Arial"/>
          <w:iCs/>
          <w:szCs w:val="20"/>
          <w:lang w:val="es-ES" w:eastAsia="es-ES"/>
        </w:rPr>
      </w:pPr>
    </w:p>
    <w:p w14:paraId="54529F55"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También, se integra por préstamos personales a funcionarios públicos, deudores morosos por concepto de gastos a comprobar.</w:t>
      </w:r>
    </w:p>
    <w:p w14:paraId="00B7584C"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14C31BFA"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Al 31 de marzo de 2024, refleja un saldo de $ 19,069,782 pesos y representa el 1.5 % del activo circulante.</w:t>
      </w:r>
    </w:p>
    <w:p w14:paraId="1C14FA6C"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6BD7D3D7"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drawing>
          <wp:inline distT="0" distB="0" distL="0" distR="0" wp14:anchorId="2B3F7517" wp14:editId="5B306573">
            <wp:extent cx="3729600" cy="1559188"/>
            <wp:effectExtent l="0" t="0" r="4445"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9600" cy="1559188"/>
                    </a:xfrm>
                    <a:prstGeom prst="rect">
                      <a:avLst/>
                    </a:prstGeom>
                    <a:noFill/>
                    <a:ln>
                      <a:noFill/>
                    </a:ln>
                  </pic:spPr>
                </pic:pic>
              </a:graphicData>
            </a:graphic>
          </wp:inline>
        </w:drawing>
      </w:r>
    </w:p>
    <w:p w14:paraId="51E6D60E" w14:textId="77777777" w:rsidR="00367B2D" w:rsidRPr="00367B2D" w:rsidRDefault="00367B2D" w:rsidP="00367B2D">
      <w:pPr>
        <w:tabs>
          <w:tab w:val="left" w:pos="5806"/>
        </w:tabs>
        <w:autoSpaceDE w:val="0"/>
        <w:autoSpaceDN w:val="0"/>
        <w:adjustRightInd w:val="0"/>
        <w:jc w:val="both"/>
        <w:rPr>
          <w:rFonts w:eastAsia="Times New Roman" w:cs="Arial"/>
          <w:b/>
          <w:bCs/>
          <w:i/>
          <w:iCs/>
          <w:szCs w:val="20"/>
          <w:lang w:val="es-ES" w:eastAsia="es-ES"/>
        </w:rPr>
      </w:pPr>
    </w:p>
    <w:p w14:paraId="1FAEAB62" w14:textId="77777777" w:rsidR="00367B2D" w:rsidRPr="00367B2D" w:rsidRDefault="00367B2D" w:rsidP="00367B2D">
      <w:pPr>
        <w:tabs>
          <w:tab w:val="left" w:pos="5806"/>
        </w:tabs>
        <w:autoSpaceDE w:val="0"/>
        <w:autoSpaceDN w:val="0"/>
        <w:adjustRightInd w:val="0"/>
        <w:jc w:val="both"/>
        <w:rPr>
          <w:rFonts w:eastAsia="Times New Roman" w:cs="Arial"/>
          <w:b/>
          <w:bCs/>
          <w:i/>
          <w:iCs/>
          <w:szCs w:val="20"/>
          <w:lang w:val="es-ES" w:eastAsia="es-ES"/>
        </w:rPr>
      </w:pPr>
    </w:p>
    <w:p w14:paraId="0AF18F58"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r w:rsidRPr="00367B2D">
        <w:rPr>
          <w:rFonts w:eastAsia="Times New Roman" w:cs="Arial"/>
          <w:b/>
          <w:bCs/>
          <w:i/>
          <w:iCs/>
          <w:szCs w:val="20"/>
          <w:u w:val="single"/>
          <w:lang w:val="es-ES" w:eastAsia="es-ES"/>
        </w:rPr>
        <w:t>Derechos a recibir bienes o servicios</w:t>
      </w:r>
    </w:p>
    <w:p w14:paraId="7014D40B" w14:textId="77777777" w:rsidR="00367B2D" w:rsidRPr="00367B2D" w:rsidRDefault="00367B2D" w:rsidP="00367B2D">
      <w:pPr>
        <w:tabs>
          <w:tab w:val="left" w:pos="5806"/>
        </w:tabs>
        <w:autoSpaceDE w:val="0"/>
        <w:autoSpaceDN w:val="0"/>
        <w:adjustRightInd w:val="0"/>
        <w:jc w:val="both"/>
        <w:rPr>
          <w:rFonts w:eastAsia="Times New Roman" w:cs="Arial"/>
          <w:b/>
          <w:bCs/>
          <w:i/>
          <w:iCs/>
          <w:szCs w:val="20"/>
          <w:lang w:val="es-ES" w:eastAsia="es-ES"/>
        </w:rPr>
      </w:pPr>
    </w:p>
    <w:p w14:paraId="6A17A939" w14:textId="77777777" w:rsidR="00367B2D" w:rsidRPr="00367B2D" w:rsidRDefault="00367B2D" w:rsidP="00367B2D">
      <w:pPr>
        <w:jc w:val="both"/>
        <w:rPr>
          <w:rFonts w:eastAsia="Times New Roman" w:cs="Arial"/>
          <w:szCs w:val="20"/>
          <w:lang w:eastAsia="es-MX"/>
        </w:rPr>
      </w:pPr>
      <w:r w:rsidRPr="00367B2D">
        <w:rPr>
          <w:rFonts w:eastAsia="Times New Roman" w:cs="Arial"/>
          <w:bCs/>
          <w:iCs/>
          <w:szCs w:val="20"/>
          <w:lang w:val="es-ES" w:eastAsia="es-ES"/>
        </w:rPr>
        <w:t>Este rubro del activo circulante asciende a $ 18,689,233 pesos y</w:t>
      </w:r>
      <w:r w:rsidRPr="00367B2D">
        <w:rPr>
          <w:rFonts w:eastAsia="Times New Roman" w:cs="Arial"/>
          <w:szCs w:val="20"/>
          <w:lang w:eastAsia="es-MX"/>
        </w:rPr>
        <w:t xml:space="preserve"> está representado por los anticipos que se otorgaron a proveedores por prestación de servicios de bienes a través de contratos, en beneficio de la Universidad Autónoma de Chiapas. Así como, por la adquisición de bienes intangibles a favor de la Fiscalía General del Estado. </w:t>
      </w:r>
    </w:p>
    <w:p w14:paraId="28C3DA08" w14:textId="77777777" w:rsidR="00367B2D" w:rsidRPr="00367B2D" w:rsidRDefault="00367B2D" w:rsidP="00367B2D">
      <w:pPr>
        <w:jc w:val="both"/>
        <w:rPr>
          <w:rFonts w:eastAsia="Times New Roman" w:cs="Arial"/>
          <w:szCs w:val="20"/>
          <w:lang w:eastAsia="es-MX"/>
        </w:rPr>
      </w:pPr>
    </w:p>
    <w:p w14:paraId="7C903513" w14:textId="77777777" w:rsidR="00367B2D" w:rsidRPr="00367B2D" w:rsidRDefault="00367B2D" w:rsidP="00367B2D">
      <w:pPr>
        <w:jc w:val="both"/>
        <w:rPr>
          <w:rFonts w:eastAsia="Times New Roman" w:cs="Arial"/>
          <w:bCs/>
          <w:iCs/>
          <w:szCs w:val="20"/>
          <w:lang w:val="es-ES" w:eastAsia="es-ES"/>
        </w:rPr>
      </w:pPr>
      <w:r w:rsidRPr="00367B2D">
        <w:rPr>
          <w:rFonts w:eastAsia="Times New Roman" w:cs="Arial"/>
          <w:bCs/>
          <w:iCs/>
          <w:szCs w:val="20"/>
          <w:lang w:val="es-ES" w:eastAsia="es-ES"/>
        </w:rPr>
        <w:t>Del 1 de enero al 31 de marzo de 2024, este rubro representa el 1.4 % del total del activo circulante.</w:t>
      </w:r>
    </w:p>
    <w:p w14:paraId="435127BE" w14:textId="77777777" w:rsidR="00367B2D" w:rsidRPr="00367B2D" w:rsidRDefault="00367B2D" w:rsidP="00367B2D">
      <w:pPr>
        <w:jc w:val="both"/>
        <w:rPr>
          <w:rFonts w:eastAsia="Times New Roman" w:cs="Arial"/>
          <w:bCs/>
          <w:iCs/>
          <w:szCs w:val="20"/>
          <w:lang w:val="es-ES" w:eastAsia="es-ES"/>
        </w:rPr>
      </w:pPr>
    </w:p>
    <w:p w14:paraId="1B6E7805" w14:textId="77777777" w:rsidR="00367B2D" w:rsidRPr="00367B2D" w:rsidRDefault="00367B2D" w:rsidP="00367B2D">
      <w:pPr>
        <w:tabs>
          <w:tab w:val="left" w:pos="5806"/>
        </w:tabs>
        <w:autoSpaceDE w:val="0"/>
        <w:autoSpaceDN w:val="0"/>
        <w:adjustRightInd w:val="0"/>
        <w:jc w:val="center"/>
        <w:rPr>
          <w:rFonts w:eastAsia="Times New Roman" w:cs="Arial"/>
          <w:b/>
          <w:bCs/>
          <w:i/>
          <w:iCs/>
          <w:szCs w:val="20"/>
          <w:lang w:val="es-ES" w:eastAsia="es-ES"/>
        </w:rPr>
      </w:pPr>
      <w:r w:rsidRPr="00367B2D">
        <w:rPr>
          <w:rFonts w:ascii="Calibri" w:eastAsia="Calibri" w:hAnsi="Calibri" w:cs="Times New Roman"/>
          <w:noProof/>
          <w:sz w:val="22"/>
          <w:lang w:eastAsia="es-MX"/>
        </w:rPr>
        <w:drawing>
          <wp:inline distT="0" distB="0" distL="0" distR="0" wp14:anchorId="6F6B6329" wp14:editId="33CC2BE6">
            <wp:extent cx="3729600" cy="1783863"/>
            <wp:effectExtent l="0" t="0" r="444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9600" cy="1783863"/>
                    </a:xfrm>
                    <a:prstGeom prst="rect">
                      <a:avLst/>
                    </a:prstGeom>
                    <a:noFill/>
                    <a:ln>
                      <a:noFill/>
                    </a:ln>
                  </pic:spPr>
                </pic:pic>
              </a:graphicData>
            </a:graphic>
          </wp:inline>
        </w:drawing>
      </w:r>
    </w:p>
    <w:p w14:paraId="77FF230B" w14:textId="77777777" w:rsidR="00367B2D" w:rsidRPr="00367B2D" w:rsidRDefault="00367B2D" w:rsidP="00367B2D">
      <w:pPr>
        <w:tabs>
          <w:tab w:val="left" w:pos="5806"/>
        </w:tabs>
        <w:autoSpaceDE w:val="0"/>
        <w:autoSpaceDN w:val="0"/>
        <w:adjustRightInd w:val="0"/>
        <w:jc w:val="both"/>
        <w:rPr>
          <w:rFonts w:eastAsia="Times New Roman" w:cs="Arial"/>
          <w:b/>
          <w:bCs/>
          <w:i/>
          <w:iCs/>
          <w:szCs w:val="20"/>
          <w:lang w:val="es-ES" w:eastAsia="es-ES"/>
        </w:rPr>
      </w:pPr>
    </w:p>
    <w:p w14:paraId="574E3C36"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r w:rsidRPr="00367B2D">
        <w:rPr>
          <w:rFonts w:eastAsia="Times New Roman" w:cs="Arial"/>
          <w:b/>
          <w:bCs/>
          <w:i/>
          <w:iCs/>
          <w:szCs w:val="20"/>
          <w:u w:val="single"/>
          <w:lang w:val="es-ES" w:eastAsia="es-ES"/>
        </w:rPr>
        <w:lastRenderedPageBreak/>
        <w:t>Inventarios</w:t>
      </w:r>
    </w:p>
    <w:p w14:paraId="6F68CDCA" w14:textId="77777777" w:rsidR="00367B2D" w:rsidRPr="00367B2D" w:rsidRDefault="00367B2D" w:rsidP="00367B2D">
      <w:pPr>
        <w:autoSpaceDE w:val="0"/>
        <w:autoSpaceDN w:val="0"/>
        <w:adjustRightInd w:val="0"/>
        <w:jc w:val="both"/>
        <w:rPr>
          <w:rFonts w:eastAsia="Times New Roman" w:cs="Arial"/>
          <w:b/>
          <w:bCs/>
          <w:i/>
          <w:szCs w:val="20"/>
          <w:lang w:val="es-ES" w:eastAsia="es-ES"/>
        </w:rPr>
      </w:pPr>
    </w:p>
    <w:p w14:paraId="22ABA6FC"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MX"/>
        </w:rPr>
        <w:t>Al 31 de marzo, el rubro de inventarios asciende a $ 679,510 pesos, y refleja el registro de bienes inventariables de la Universidad Autónoma de Chiapas, mismos que se encuentran pendientes de asignación y/o regularización.</w:t>
      </w:r>
      <w:r w:rsidRPr="00367B2D">
        <w:rPr>
          <w:rFonts w:eastAsia="Times New Roman" w:cs="Arial"/>
          <w:iCs/>
          <w:szCs w:val="20"/>
          <w:lang w:val="es-ES" w:eastAsia="es-ES"/>
        </w:rPr>
        <w:t xml:space="preserve"> </w:t>
      </w:r>
    </w:p>
    <w:p w14:paraId="2E31DAE7"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49A7A317" w14:textId="77777777" w:rsidR="00367B2D" w:rsidRPr="00367B2D" w:rsidRDefault="00367B2D" w:rsidP="00367B2D">
      <w:pPr>
        <w:autoSpaceDE w:val="0"/>
        <w:autoSpaceDN w:val="0"/>
        <w:adjustRightInd w:val="0"/>
        <w:jc w:val="both"/>
        <w:rPr>
          <w:rFonts w:eastAsia="Times New Roman" w:cs="Arial"/>
          <w:iCs/>
          <w:szCs w:val="20"/>
          <w:lang w:val="es-ES" w:eastAsia="es-MX"/>
        </w:rPr>
      </w:pPr>
      <w:r w:rsidRPr="00367B2D">
        <w:rPr>
          <w:rFonts w:eastAsia="Times New Roman" w:cs="Arial"/>
          <w:iCs/>
          <w:szCs w:val="20"/>
          <w:lang w:val="es-ES" w:eastAsia="es-ES"/>
        </w:rPr>
        <w:t>Representa el 0.1 % del total del activo circulante.</w:t>
      </w:r>
    </w:p>
    <w:p w14:paraId="3F2874A9"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0E103FEE" w14:textId="77777777" w:rsidR="00367B2D" w:rsidRPr="00367B2D" w:rsidRDefault="00367B2D" w:rsidP="00367B2D">
      <w:pPr>
        <w:jc w:val="center"/>
        <w:rPr>
          <w:rFonts w:eastAsia="Times New Roman" w:cs="Arial"/>
          <w:b/>
          <w:bCs/>
          <w:i/>
          <w:szCs w:val="20"/>
          <w:lang w:val="es-ES" w:eastAsia="es-ES"/>
        </w:rPr>
      </w:pPr>
      <w:r w:rsidRPr="00367B2D">
        <w:rPr>
          <w:rFonts w:ascii="Calibri" w:eastAsia="Calibri" w:hAnsi="Calibri" w:cs="Times New Roman"/>
          <w:noProof/>
          <w:sz w:val="22"/>
          <w:lang w:eastAsia="es-MX"/>
        </w:rPr>
        <w:drawing>
          <wp:inline distT="0" distB="0" distL="0" distR="0" wp14:anchorId="65AC0247" wp14:editId="14A3E2FA">
            <wp:extent cx="3729600" cy="842936"/>
            <wp:effectExtent l="0" t="0" r="444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9600" cy="842936"/>
                    </a:xfrm>
                    <a:prstGeom prst="rect">
                      <a:avLst/>
                    </a:prstGeom>
                    <a:noFill/>
                    <a:ln>
                      <a:noFill/>
                    </a:ln>
                  </pic:spPr>
                </pic:pic>
              </a:graphicData>
            </a:graphic>
          </wp:inline>
        </w:drawing>
      </w:r>
    </w:p>
    <w:p w14:paraId="20713A58" w14:textId="77777777" w:rsidR="00367B2D" w:rsidRPr="00367B2D" w:rsidRDefault="00367B2D" w:rsidP="00367B2D">
      <w:pPr>
        <w:jc w:val="both"/>
        <w:rPr>
          <w:rFonts w:eastAsia="Times New Roman" w:cs="Arial"/>
          <w:b/>
          <w:bCs/>
          <w:i/>
          <w:szCs w:val="20"/>
          <w:lang w:val="es-ES" w:eastAsia="es-ES"/>
        </w:rPr>
      </w:pPr>
    </w:p>
    <w:p w14:paraId="32D8143E" w14:textId="77777777" w:rsidR="00367B2D" w:rsidRPr="00367B2D" w:rsidRDefault="00367B2D" w:rsidP="00367B2D">
      <w:pPr>
        <w:jc w:val="both"/>
        <w:rPr>
          <w:rFonts w:eastAsia="Times New Roman" w:cs="Arial"/>
          <w:b/>
          <w:bCs/>
          <w:i/>
          <w:szCs w:val="20"/>
          <w:lang w:val="es-ES" w:eastAsia="es-ES"/>
        </w:rPr>
      </w:pPr>
    </w:p>
    <w:p w14:paraId="268D52EF" w14:textId="77777777" w:rsidR="00367B2D" w:rsidRPr="00367B2D" w:rsidRDefault="00367B2D" w:rsidP="00367B2D">
      <w:pPr>
        <w:autoSpaceDE w:val="0"/>
        <w:autoSpaceDN w:val="0"/>
        <w:adjustRightInd w:val="0"/>
        <w:jc w:val="both"/>
        <w:rPr>
          <w:rFonts w:eastAsia="Calibri" w:cs="Arial"/>
          <w:b/>
          <w:bCs/>
          <w:szCs w:val="20"/>
        </w:rPr>
      </w:pPr>
      <w:r w:rsidRPr="00367B2D">
        <w:rPr>
          <w:rFonts w:eastAsia="Calibri" w:cs="Arial"/>
          <w:b/>
          <w:bCs/>
          <w:szCs w:val="20"/>
        </w:rPr>
        <w:t>No circulante</w:t>
      </w:r>
    </w:p>
    <w:p w14:paraId="16B36E72" w14:textId="77777777" w:rsidR="00367B2D" w:rsidRPr="00367B2D" w:rsidRDefault="00367B2D" w:rsidP="00367B2D">
      <w:pPr>
        <w:autoSpaceDE w:val="0"/>
        <w:autoSpaceDN w:val="0"/>
        <w:adjustRightInd w:val="0"/>
        <w:jc w:val="both"/>
        <w:rPr>
          <w:rFonts w:eastAsia="Calibri" w:cs="Arial"/>
          <w:b/>
          <w:bCs/>
          <w:szCs w:val="20"/>
        </w:rPr>
      </w:pPr>
    </w:p>
    <w:p w14:paraId="7CA0DA29" w14:textId="77777777" w:rsidR="00367B2D" w:rsidRPr="00367B2D" w:rsidRDefault="00367B2D" w:rsidP="00367B2D">
      <w:pPr>
        <w:autoSpaceDE w:val="0"/>
        <w:autoSpaceDN w:val="0"/>
        <w:adjustRightInd w:val="0"/>
        <w:jc w:val="center"/>
        <w:rPr>
          <w:rFonts w:eastAsia="Times New Roman" w:cs="Arial"/>
          <w:iCs/>
          <w:noProof/>
          <w:szCs w:val="20"/>
          <w:lang w:val="es-ES" w:eastAsia="es-MX"/>
        </w:rPr>
      </w:pPr>
      <w:r w:rsidRPr="00367B2D">
        <w:rPr>
          <w:rFonts w:ascii="Calibri" w:eastAsia="Calibri" w:hAnsi="Calibri" w:cs="Times New Roman"/>
          <w:noProof/>
          <w:sz w:val="22"/>
          <w:lang w:eastAsia="es-MX"/>
        </w:rPr>
        <w:drawing>
          <wp:inline distT="0" distB="0" distL="0" distR="0" wp14:anchorId="410A9945" wp14:editId="3E6C48A4">
            <wp:extent cx="3729600" cy="3764026"/>
            <wp:effectExtent l="0" t="0" r="4445"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29600" cy="3764026"/>
                    </a:xfrm>
                    <a:prstGeom prst="rect">
                      <a:avLst/>
                    </a:prstGeom>
                    <a:noFill/>
                    <a:ln>
                      <a:noFill/>
                    </a:ln>
                  </pic:spPr>
                </pic:pic>
              </a:graphicData>
            </a:graphic>
          </wp:inline>
        </w:drawing>
      </w:r>
    </w:p>
    <w:p w14:paraId="41DE536D" w14:textId="77777777" w:rsidR="00367B2D" w:rsidRPr="00367B2D" w:rsidRDefault="00367B2D" w:rsidP="00367B2D">
      <w:pPr>
        <w:autoSpaceDE w:val="0"/>
        <w:autoSpaceDN w:val="0"/>
        <w:adjustRightInd w:val="0"/>
        <w:jc w:val="both"/>
        <w:outlineLvl w:val="0"/>
        <w:rPr>
          <w:rFonts w:eastAsia="Times New Roman" w:cs="Arial"/>
          <w:b/>
          <w:bCs/>
          <w:i/>
          <w:iCs/>
          <w:szCs w:val="20"/>
          <w:lang w:val="es-ES" w:eastAsia="es-ES"/>
        </w:rPr>
      </w:pPr>
    </w:p>
    <w:p w14:paraId="0933523F" w14:textId="77777777" w:rsidR="00367B2D" w:rsidRPr="00367B2D" w:rsidRDefault="00367B2D" w:rsidP="00367B2D">
      <w:pPr>
        <w:autoSpaceDE w:val="0"/>
        <w:autoSpaceDN w:val="0"/>
        <w:adjustRightInd w:val="0"/>
        <w:jc w:val="both"/>
        <w:outlineLvl w:val="0"/>
        <w:rPr>
          <w:rFonts w:eastAsia="Times New Roman" w:cs="Arial"/>
          <w:b/>
          <w:bCs/>
          <w:i/>
          <w:iCs/>
          <w:szCs w:val="20"/>
          <w:lang w:val="es-ES" w:eastAsia="es-ES"/>
        </w:rPr>
      </w:pPr>
    </w:p>
    <w:p w14:paraId="10E6DF9B"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r w:rsidRPr="00367B2D">
        <w:rPr>
          <w:rFonts w:eastAsia="Times New Roman" w:cs="Arial"/>
          <w:b/>
          <w:bCs/>
          <w:i/>
          <w:iCs/>
          <w:szCs w:val="20"/>
          <w:u w:val="single"/>
          <w:lang w:val="es-ES" w:eastAsia="es-ES"/>
        </w:rPr>
        <w:t>Inversiones financieras a largo plazo</w:t>
      </w:r>
    </w:p>
    <w:p w14:paraId="041CF0F0"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6553E06E"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Al 31 de marzo de 2024, este rubro del activo refleja la cifra de $ 60,208,262 pesos y representa los fideicomisos de los Órganos Autónomos, orientados al mejoramiento de la organización electoral, a la impartición de justicia y a los servicios educativos, los cuales se mencionan a continuación:</w:t>
      </w:r>
    </w:p>
    <w:p w14:paraId="5DD5D378"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6F1E97EE" w14:textId="77777777" w:rsidR="00367B2D" w:rsidRPr="00367B2D" w:rsidRDefault="00367B2D" w:rsidP="00367B2D">
      <w:pPr>
        <w:jc w:val="both"/>
        <w:rPr>
          <w:rFonts w:eastAsia="Times New Roman" w:cs="Arial"/>
          <w:iCs/>
          <w:szCs w:val="20"/>
          <w:lang w:val="es-ES" w:eastAsia="es-ES"/>
        </w:rPr>
      </w:pPr>
      <w:r w:rsidRPr="00367B2D">
        <w:rPr>
          <w:rFonts w:eastAsia="Times New Roman" w:cs="Arial"/>
          <w:iCs/>
          <w:szCs w:val="20"/>
          <w:lang w:val="es-ES" w:eastAsia="es-ES"/>
        </w:rPr>
        <w:t>Fideicomisos, Mandatos y Contratos Análogos:</w:t>
      </w:r>
    </w:p>
    <w:p w14:paraId="03B7708A" w14:textId="77777777" w:rsidR="00367B2D" w:rsidRPr="00367B2D" w:rsidRDefault="00367B2D" w:rsidP="00367B2D">
      <w:pPr>
        <w:jc w:val="both"/>
        <w:rPr>
          <w:rFonts w:eastAsia="Times New Roman" w:cs="Arial"/>
          <w:iCs/>
          <w:szCs w:val="20"/>
          <w:lang w:val="es-ES" w:eastAsia="es-ES"/>
        </w:rPr>
      </w:pPr>
    </w:p>
    <w:p w14:paraId="2F6500FA" w14:textId="77777777" w:rsidR="00367B2D" w:rsidRPr="00367B2D" w:rsidRDefault="00367B2D" w:rsidP="00367B2D">
      <w:pPr>
        <w:numPr>
          <w:ilvl w:val="0"/>
          <w:numId w:val="25"/>
        </w:numPr>
        <w:autoSpaceDE w:val="0"/>
        <w:autoSpaceDN w:val="0"/>
        <w:adjustRightInd w:val="0"/>
        <w:spacing w:after="120"/>
        <w:ind w:left="357" w:hanging="357"/>
        <w:jc w:val="both"/>
        <w:rPr>
          <w:rFonts w:eastAsia="Calibri" w:cs="Times New Roman"/>
          <w:szCs w:val="20"/>
        </w:rPr>
      </w:pPr>
      <w:r w:rsidRPr="00367B2D">
        <w:rPr>
          <w:rFonts w:eastAsia="Calibri" w:cs="Times New Roman"/>
          <w:szCs w:val="20"/>
        </w:rPr>
        <w:t>Fondo para la Modernización y Mantenimiento de la Infraestructura Institucional y el Mejoramiento de la Organización Electoral.</w:t>
      </w:r>
    </w:p>
    <w:p w14:paraId="50E33C0E" w14:textId="77777777" w:rsidR="00367B2D" w:rsidRPr="00367B2D" w:rsidRDefault="00367B2D" w:rsidP="00367B2D">
      <w:pPr>
        <w:numPr>
          <w:ilvl w:val="0"/>
          <w:numId w:val="25"/>
        </w:numPr>
        <w:autoSpaceDE w:val="0"/>
        <w:autoSpaceDN w:val="0"/>
        <w:adjustRightInd w:val="0"/>
        <w:spacing w:after="120"/>
        <w:ind w:left="357" w:hanging="357"/>
        <w:jc w:val="both"/>
        <w:rPr>
          <w:rFonts w:eastAsia="Calibri" w:cs="Arial"/>
          <w:szCs w:val="20"/>
          <w:lang w:eastAsia="es-MX"/>
        </w:rPr>
      </w:pPr>
      <w:r w:rsidRPr="00367B2D">
        <w:rPr>
          <w:rFonts w:eastAsia="Calibri" w:cs="Arial"/>
          <w:szCs w:val="20"/>
          <w:lang w:eastAsia="es-MX"/>
        </w:rPr>
        <w:t>Fondo contra la Delincuencia Organizada (</w:t>
      </w:r>
      <w:proofErr w:type="spellStart"/>
      <w:r w:rsidRPr="00367B2D">
        <w:rPr>
          <w:rFonts w:eastAsia="Calibri" w:cs="Arial"/>
          <w:szCs w:val="20"/>
          <w:lang w:eastAsia="es-MX"/>
        </w:rPr>
        <w:t>Focodo</w:t>
      </w:r>
      <w:proofErr w:type="spellEnd"/>
      <w:r w:rsidRPr="00367B2D">
        <w:rPr>
          <w:rFonts w:eastAsia="Calibri" w:cs="Arial"/>
          <w:szCs w:val="20"/>
          <w:lang w:eastAsia="es-MX"/>
        </w:rPr>
        <w:t>).</w:t>
      </w:r>
    </w:p>
    <w:p w14:paraId="3883B8A2" w14:textId="77777777" w:rsidR="00367B2D" w:rsidRPr="00367B2D" w:rsidRDefault="00367B2D" w:rsidP="00367B2D">
      <w:pPr>
        <w:numPr>
          <w:ilvl w:val="0"/>
          <w:numId w:val="25"/>
        </w:numPr>
        <w:spacing w:after="120"/>
        <w:ind w:left="357" w:hanging="357"/>
        <w:jc w:val="both"/>
        <w:rPr>
          <w:rFonts w:eastAsia="Calibri" w:cs="Times New Roman"/>
          <w:szCs w:val="20"/>
        </w:rPr>
      </w:pPr>
      <w:r w:rsidRPr="00367B2D">
        <w:rPr>
          <w:rFonts w:eastAsia="Calibri" w:cs="Times New Roman"/>
          <w:szCs w:val="20"/>
        </w:rPr>
        <w:t>Programa para el Desarrollo Profesional Docente (</w:t>
      </w:r>
      <w:proofErr w:type="spellStart"/>
      <w:r w:rsidRPr="00367B2D">
        <w:rPr>
          <w:rFonts w:eastAsia="Calibri" w:cs="Times New Roman"/>
          <w:szCs w:val="20"/>
        </w:rPr>
        <w:t>Prodep</w:t>
      </w:r>
      <w:proofErr w:type="spellEnd"/>
      <w:r w:rsidRPr="00367B2D">
        <w:rPr>
          <w:rFonts w:eastAsia="Calibri" w:cs="Times New Roman"/>
          <w:szCs w:val="20"/>
        </w:rPr>
        <w:t>).</w:t>
      </w:r>
    </w:p>
    <w:p w14:paraId="304EE6A2" w14:textId="77777777" w:rsidR="00367B2D" w:rsidRPr="00367B2D" w:rsidRDefault="00367B2D" w:rsidP="00367B2D">
      <w:pPr>
        <w:numPr>
          <w:ilvl w:val="0"/>
          <w:numId w:val="26"/>
        </w:numPr>
        <w:spacing w:after="120"/>
        <w:ind w:left="357" w:hanging="357"/>
        <w:jc w:val="both"/>
        <w:rPr>
          <w:rFonts w:eastAsia="Calibri" w:cs="Times New Roman"/>
          <w:szCs w:val="20"/>
        </w:rPr>
      </w:pPr>
      <w:r w:rsidRPr="00367B2D">
        <w:rPr>
          <w:rFonts w:eastAsia="Calibri" w:cs="Times New Roman"/>
          <w:bCs/>
          <w:color w:val="000000"/>
          <w:szCs w:val="20"/>
        </w:rPr>
        <w:lastRenderedPageBreak/>
        <w:t>Programa de Mejoramiento del Profesorado (</w:t>
      </w:r>
      <w:proofErr w:type="spellStart"/>
      <w:r w:rsidRPr="00367B2D">
        <w:rPr>
          <w:rFonts w:eastAsia="Calibri" w:cs="Times New Roman"/>
          <w:bCs/>
          <w:color w:val="000000"/>
          <w:szCs w:val="20"/>
        </w:rPr>
        <w:t>Promep</w:t>
      </w:r>
      <w:proofErr w:type="spellEnd"/>
      <w:r w:rsidRPr="00367B2D">
        <w:rPr>
          <w:rFonts w:eastAsia="Calibri" w:cs="Times New Roman"/>
          <w:bCs/>
          <w:color w:val="000000"/>
          <w:szCs w:val="20"/>
        </w:rPr>
        <w:t>).</w:t>
      </w:r>
    </w:p>
    <w:p w14:paraId="5DF2AF23" w14:textId="77777777" w:rsidR="00367B2D" w:rsidRPr="00367B2D" w:rsidRDefault="00367B2D" w:rsidP="00367B2D">
      <w:pPr>
        <w:jc w:val="both"/>
        <w:rPr>
          <w:rFonts w:eastAsia="Times New Roman" w:cs="Arial"/>
          <w:iCs/>
          <w:szCs w:val="20"/>
          <w:lang w:eastAsia="es-ES"/>
        </w:rPr>
      </w:pPr>
    </w:p>
    <w:p w14:paraId="4235CD32" w14:textId="77777777" w:rsidR="00367B2D" w:rsidRPr="00367B2D" w:rsidRDefault="00367B2D" w:rsidP="00367B2D">
      <w:pPr>
        <w:jc w:val="both"/>
        <w:rPr>
          <w:rFonts w:eastAsia="Times New Roman" w:cs="Arial"/>
          <w:iCs/>
          <w:szCs w:val="20"/>
          <w:lang w:eastAsia="es-ES"/>
        </w:rPr>
      </w:pPr>
      <w:r w:rsidRPr="00367B2D">
        <w:rPr>
          <w:rFonts w:eastAsia="Times New Roman" w:cs="Arial"/>
          <w:iCs/>
          <w:szCs w:val="20"/>
          <w:lang w:eastAsia="es-ES"/>
        </w:rPr>
        <w:t>Del total del activo no circulante, este rubro representa el 1.3 %.</w:t>
      </w:r>
    </w:p>
    <w:p w14:paraId="250DDE31" w14:textId="77777777" w:rsidR="00367B2D" w:rsidRPr="00367B2D" w:rsidRDefault="00367B2D" w:rsidP="00367B2D">
      <w:pPr>
        <w:jc w:val="both"/>
        <w:rPr>
          <w:rFonts w:eastAsia="Times New Roman" w:cs="Arial"/>
          <w:iCs/>
          <w:szCs w:val="20"/>
          <w:lang w:eastAsia="es-ES"/>
        </w:rPr>
      </w:pPr>
    </w:p>
    <w:p w14:paraId="2011CE47" w14:textId="77777777" w:rsidR="00367B2D" w:rsidRPr="00367B2D" w:rsidRDefault="00367B2D" w:rsidP="00367B2D">
      <w:pPr>
        <w:tabs>
          <w:tab w:val="left" w:pos="4365"/>
          <w:tab w:val="left" w:pos="5805"/>
        </w:tabs>
        <w:autoSpaceDE w:val="0"/>
        <w:autoSpaceDN w:val="0"/>
        <w:adjustRightInd w:val="0"/>
        <w:jc w:val="center"/>
        <w:rPr>
          <w:rFonts w:eastAsia="Times New Roman" w:cs="Arial"/>
          <w:iCs/>
          <w:noProof/>
          <w:szCs w:val="20"/>
          <w:lang w:val="es-ES" w:eastAsia="es-MX"/>
        </w:rPr>
      </w:pPr>
      <w:r w:rsidRPr="00367B2D">
        <w:rPr>
          <w:rFonts w:ascii="Calibri" w:eastAsia="Calibri" w:hAnsi="Calibri" w:cs="Times New Roman"/>
          <w:noProof/>
          <w:sz w:val="22"/>
          <w:lang w:eastAsia="es-MX"/>
        </w:rPr>
        <w:drawing>
          <wp:inline distT="0" distB="0" distL="0" distR="0" wp14:anchorId="700E7AEC" wp14:editId="41A01F30">
            <wp:extent cx="3729600" cy="955003"/>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9600" cy="955003"/>
                    </a:xfrm>
                    <a:prstGeom prst="rect">
                      <a:avLst/>
                    </a:prstGeom>
                    <a:noFill/>
                    <a:ln>
                      <a:noFill/>
                    </a:ln>
                  </pic:spPr>
                </pic:pic>
              </a:graphicData>
            </a:graphic>
          </wp:inline>
        </w:drawing>
      </w:r>
    </w:p>
    <w:p w14:paraId="6623306A" w14:textId="77777777" w:rsidR="00367B2D" w:rsidRPr="00367B2D" w:rsidRDefault="00367B2D" w:rsidP="00367B2D">
      <w:pPr>
        <w:tabs>
          <w:tab w:val="left" w:pos="4365"/>
          <w:tab w:val="left" w:pos="5805"/>
        </w:tabs>
        <w:autoSpaceDE w:val="0"/>
        <w:autoSpaceDN w:val="0"/>
        <w:adjustRightInd w:val="0"/>
        <w:jc w:val="both"/>
        <w:rPr>
          <w:rFonts w:eastAsia="Times New Roman" w:cs="Arial"/>
          <w:iCs/>
          <w:szCs w:val="20"/>
          <w:lang w:val="es-ES" w:eastAsia="es-ES"/>
        </w:rPr>
      </w:pPr>
    </w:p>
    <w:p w14:paraId="6F053C4E" w14:textId="77777777" w:rsidR="00367B2D" w:rsidRPr="00367B2D" w:rsidRDefault="00367B2D" w:rsidP="00367B2D">
      <w:pPr>
        <w:tabs>
          <w:tab w:val="left" w:pos="4365"/>
          <w:tab w:val="left" w:pos="5805"/>
        </w:tabs>
        <w:autoSpaceDE w:val="0"/>
        <w:autoSpaceDN w:val="0"/>
        <w:adjustRightInd w:val="0"/>
        <w:jc w:val="both"/>
        <w:rPr>
          <w:rFonts w:eastAsia="Times New Roman" w:cs="Arial"/>
          <w:iCs/>
          <w:szCs w:val="20"/>
          <w:lang w:val="es-ES" w:eastAsia="es-ES"/>
        </w:rPr>
      </w:pPr>
    </w:p>
    <w:p w14:paraId="36E76875"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r w:rsidRPr="00367B2D">
        <w:rPr>
          <w:rFonts w:eastAsia="Times New Roman" w:cs="Arial"/>
          <w:b/>
          <w:bCs/>
          <w:i/>
          <w:iCs/>
          <w:szCs w:val="20"/>
          <w:u w:val="single"/>
          <w:lang w:val="es-ES" w:eastAsia="es-ES"/>
        </w:rPr>
        <w:t>Derechos a recibir efectivo o equivalentes a largo plazo</w:t>
      </w:r>
    </w:p>
    <w:p w14:paraId="669F2E89"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03C93C67" w14:textId="77777777" w:rsidR="00367B2D" w:rsidRPr="00367B2D" w:rsidRDefault="00367B2D" w:rsidP="00367B2D">
      <w:pPr>
        <w:jc w:val="both"/>
        <w:rPr>
          <w:rFonts w:eastAsia="Arial" w:cs="Arial"/>
          <w:iCs/>
          <w:szCs w:val="20"/>
          <w:lang w:val="es-ES" w:eastAsia="es-ES"/>
        </w:rPr>
      </w:pPr>
      <w:r w:rsidRPr="00367B2D">
        <w:rPr>
          <w:rFonts w:eastAsia="Arial" w:cs="Arial"/>
          <w:iCs/>
          <w:szCs w:val="20"/>
          <w:lang w:val="es-ES" w:eastAsia="es-ES"/>
        </w:rPr>
        <w:t xml:space="preserve">Este rubro del activo asciende a $ 100,570,529 pesos al </w:t>
      </w:r>
      <w:r w:rsidRPr="00367B2D">
        <w:rPr>
          <w:rFonts w:eastAsia="Times New Roman" w:cs="Arial"/>
          <w:iCs/>
          <w:szCs w:val="20"/>
          <w:lang w:val="es-ES" w:eastAsia="es-ES"/>
        </w:rPr>
        <w:t xml:space="preserve">31 de marzo </w:t>
      </w:r>
      <w:r w:rsidRPr="00367B2D">
        <w:rPr>
          <w:rFonts w:eastAsia="Arial" w:cs="Arial"/>
          <w:iCs/>
          <w:szCs w:val="20"/>
          <w:lang w:val="es-ES" w:eastAsia="es-ES"/>
        </w:rPr>
        <w:t>de 2024 y representa 2.3 % del total del activo no circulante y se integra por:</w:t>
      </w:r>
    </w:p>
    <w:p w14:paraId="5A1EEDD8" w14:textId="77777777" w:rsidR="00367B2D" w:rsidRPr="00367B2D" w:rsidRDefault="00367B2D" w:rsidP="00367B2D">
      <w:pPr>
        <w:jc w:val="both"/>
        <w:rPr>
          <w:rFonts w:eastAsia="Arial" w:cs="Arial"/>
          <w:iCs/>
          <w:szCs w:val="20"/>
          <w:lang w:val="es-ES" w:eastAsia="es-ES"/>
        </w:rPr>
      </w:pPr>
    </w:p>
    <w:p w14:paraId="6F975AAC" w14:textId="77777777" w:rsidR="00367B2D" w:rsidRPr="00367B2D" w:rsidRDefault="00367B2D" w:rsidP="00367B2D">
      <w:pPr>
        <w:jc w:val="both"/>
        <w:rPr>
          <w:rFonts w:eastAsia="Arial" w:cs="Arial"/>
          <w:iCs/>
          <w:szCs w:val="20"/>
          <w:lang w:val="es-ES" w:eastAsia="es-ES"/>
        </w:rPr>
      </w:pPr>
      <w:r w:rsidRPr="00367B2D">
        <w:rPr>
          <w:rFonts w:eastAsia="Arial" w:cs="Arial"/>
          <w:iCs/>
          <w:szCs w:val="20"/>
          <w:lang w:val="es-ES" w:eastAsia="es-ES"/>
        </w:rPr>
        <w:t>Las ministraciones por depositar, los préstamos a largo plazo concedido a funcionarios de los Órganos Autónomos, pendientes de recuperar.</w:t>
      </w:r>
    </w:p>
    <w:p w14:paraId="1C7E6535" w14:textId="77777777" w:rsidR="00367B2D" w:rsidRPr="00367B2D" w:rsidRDefault="00367B2D" w:rsidP="00367B2D">
      <w:pPr>
        <w:jc w:val="both"/>
        <w:rPr>
          <w:rFonts w:eastAsia="Arial" w:cs="Arial"/>
          <w:iCs/>
          <w:szCs w:val="20"/>
          <w:lang w:val="es-ES" w:eastAsia="es-ES"/>
        </w:rPr>
      </w:pPr>
    </w:p>
    <w:p w14:paraId="37FD6B4F" w14:textId="77777777" w:rsidR="00367B2D" w:rsidRPr="00367B2D" w:rsidRDefault="00367B2D" w:rsidP="00367B2D">
      <w:pPr>
        <w:jc w:val="both"/>
        <w:rPr>
          <w:rFonts w:eastAsia="Arial" w:cs="Arial"/>
          <w:iCs/>
          <w:szCs w:val="20"/>
          <w:lang w:val="es-ES" w:eastAsia="es-ES"/>
        </w:rPr>
      </w:pPr>
      <w:r w:rsidRPr="00367B2D">
        <w:rPr>
          <w:rFonts w:eastAsia="Arial" w:cs="Arial"/>
          <w:iCs/>
          <w:szCs w:val="20"/>
          <w:lang w:val="es-ES" w:eastAsia="es-ES"/>
        </w:rPr>
        <w:t>También, incluyen los gastos a comprobar, deudores sujetos a resolución judicial por concepto de manejo de valores y bienes inventariables, deudores por responsabilidades, deudores por financiamiento y por fondo revolvente.</w:t>
      </w:r>
    </w:p>
    <w:p w14:paraId="100A935D" w14:textId="77777777" w:rsidR="00367B2D" w:rsidRPr="00367B2D" w:rsidRDefault="00367B2D" w:rsidP="00367B2D">
      <w:pPr>
        <w:jc w:val="both"/>
        <w:rPr>
          <w:rFonts w:eastAsia="Arial" w:cs="Arial"/>
          <w:iCs/>
          <w:szCs w:val="20"/>
          <w:lang w:val="es-ES" w:eastAsia="es-ES"/>
        </w:rPr>
      </w:pPr>
    </w:p>
    <w:p w14:paraId="00C40C37" w14:textId="77777777" w:rsidR="00367B2D" w:rsidRPr="00367B2D" w:rsidRDefault="00367B2D" w:rsidP="00367B2D">
      <w:pPr>
        <w:jc w:val="both"/>
        <w:rPr>
          <w:rFonts w:eastAsia="Arial" w:cs="Arial"/>
          <w:iCs/>
          <w:szCs w:val="20"/>
          <w:lang w:val="es-ES" w:eastAsia="es-ES"/>
        </w:rPr>
      </w:pPr>
      <w:r w:rsidRPr="00367B2D">
        <w:rPr>
          <w:rFonts w:eastAsia="Arial" w:cs="Arial"/>
          <w:iCs/>
          <w:szCs w:val="20"/>
          <w:lang w:val="es-ES" w:eastAsia="es-ES"/>
        </w:rPr>
        <w:t xml:space="preserve">Además, dentro de este rubro se encuentran los recursos en tránsito, así como, los saldos recibidos de entes extintos y el subsidio para el empleo. </w:t>
      </w:r>
    </w:p>
    <w:p w14:paraId="7C153AA5" w14:textId="77777777" w:rsidR="00367B2D" w:rsidRPr="00367B2D" w:rsidRDefault="00367B2D" w:rsidP="00367B2D">
      <w:pPr>
        <w:jc w:val="both"/>
        <w:rPr>
          <w:rFonts w:eastAsia="Arial" w:cs="Arial"/>
          <w:iCs/>
          <w:szCs w:val="20"/>
          <w:lang w:val="es-ES" w:eastAsia="es-ES"/>
        </w:rPr>
      </w:pPr>
    </w:p>
    <w:p w14:paraId="5577D3A3"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drawing>
          <wp:inline distT="0" distB="0" distL="0" distR="0" wp14:anchorId="5AFD7C23" wp14:editId="42E7D40D">
            <wp:extent cx="3729600" cy="1446580"/>
            <wp:effectExtent l="0" t="0" r="4445"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9600" cy="1446580"/>
                    </a:xfrm>
                    <a:prstGeom prst="rect">
                      <a:avLst/>
                    </a:prstGeom>
                    <a:noFill/>
                    <a:ln>
                      <a:noFill/>
                    </a:ln>
                  </pic:spPr>
                </pic:pic>
              </a:graphicData>
            </a:graphic>
          </wp:inline>
        </w:drawing>
      </w:r>
    </w:p>
    <w:p w14:paraId="70FEF7CB"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p>
    <w:p w14:paraId="00750FF3"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p>
    <w:p w14:paraId="25F191A7"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r w:rsidRPr="00367B2D">
        <w:rPr>
          <w:rFonts w:eastAsia="Times New Roman" w:cs="Arial"/>
          <w:b/>
          <w:bCs/>
          <w:i/>
          <w:iCs/>
          <w:szCs w:val="20"/>
          <w:u w:val="single"/>
          <w:lang w:val="es-ES" w:eastAsia="es-ES"/>
        </w:rPr>
        <w:t>Bienes inmuebles, infraestructura y construcciones en proceso</w:t>
      </w:r>
    </w:p>
    <w:p w14:paraId="3F6D8C3C" w14:textId="77777777" w:rsidR="00367B2D" w:rsidRPr="00367B2D" w:rsidRDefault="00367B2D" w:rsidP="00367B2D">
      <w:pPr>
        <w:jc w:val="both"/>
        <w:rPr>
          <w:rFonts w:eastAsia="Times New Roman" w:cs="Arial"/>
          <w:iCs/>
          <w:szCs w:val="20"/>
          <w:lang w:val="es-ES" w:eastAsia="es-ES"/>
        </w:rPr>
      </w:pPr>
    </w:p>
    <w:p w14:paraId="68A9B399" w14:textId="77777777" w:rsidR="00367B2D" w:rsidRPr="00367B2D" w:rsidRDefault="00367B2D" w:rsidP="00367B2D">
      <w:pPr>
        <w:jc w:val="both"/>
        <w:rPr>
          <w:rFonts w:eastAsia="Times New Roman" w:cs="Arial"/>
          <w:iCs/>
          <w:szCs w:val="20"/>
          <w:lang w:eastAsia="es-ES"/>
        </w:rPr>
      </w:pPr>
      <w:r w:rsidRPr="00367B2D">
        <w:rPr>
          <w:rFonts w:eastAsia="Times New Roman" w:cs="Arial"/>
          <w:iCs/>
          <w:szCs w:val="20"/>
          <w:lang w:eastAsia="es-ES"/>
        </w:rPr>
        <w:t>Este rubro del activo al 31 de marzo de 2024 refleja la cifra de $ 2,528,904,831 pesos y representa el valor de los bienes inmuebles, como son: terrenos, edificios no habitacionales, así como el valor de las obras que se encuentran en proceso en bienes propios, propiedad de los Órganos Autónomos.</w:t>
      </w:r>
    </w:p>
    <w:p w14:paraId="515BD5FD" w14:textId="77777777" w:rsidR="00367B2D" w:rsidRPr="00367B2D" w:rsidRDefault="00367B2D" w:rsidP="00367B2D">
      <w:pPr>
        <w:jc w:val="both"/>
        <w:rPr>
          <w:rFonts w:eastAsia="Times New Roman" w:cs="Arial"/>
          <w:b/>
          <w:bCs/>
          <w:i/>
          <w:szCs w:val="20"/>
          <w:lang w:eastAsia="es-ES"/>
        </w:rPr>
      </w:pPr>
    </w:p>
    <w:p w14:paraId="4B2D29D8"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Del total del activo no circulante, este rubro representa el 56.9 %.</w:t>
      </w:r>
    </w:p>
    <w:p w14:paraId="1EAB22A1"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265C4831" w14:textId="77777777" w:rsidR="00367B2D" w:rsidRPr="00367B2D" w:rsidRDefault="00367B2D" w:rsidP="00367B2D">
      <w:pPr>
        <w:autoSpaceDE w:val="0"/>
        <w:autoSpaceDN w:val="0"/>
        <w:adjustRightInd w:val="0"/>
        <w:jc w:val="center"/>
        <w:rPr>
          <w:rFonts w:eastAsia="Times New Roman" w:cs="Arial"/>
          <w:b/>
          <w:bCs/>
          <w:i/>
          <w:iCs/>
          <w:szCs w:val="20"/>
          <w:lang w:val="es-ES" w:eastAsia="es-ES"/>
        </w:rPr>
      </w:pPr>
      <w:r w:rsidRPr="00367B2D">
        <w:rPr>
          <w:rFonts w:ascii="Calibri" w:eastAsia="Calibri" w:hAnsi="Calibri" w:cs="Times New Roman"/>
          <w:noProof/>
          <w:sz w:val="22"/>
          <w:lang w:eastAsia="es-MX"/>
        </w:rPr>
        <w:drawing>
          <wp:inline distT="0" distB="0" distL="0" distR="0" wp14:anchorId="3C7D8EBD" wp14:editId="208D1116">
            <wp:extent cx="3729600" cy="1397856"/>
            <wp:effectExtent l="0" t="0" r="444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9600" cy="1397856"/>
                    </a:xfrm>
                    <a:prstGeom prst="rect">
                      <a:avLst/>
                    </a:prstGeom>
                    <a:noFill/>
                    <a:ln>
                      <a:noFill/>
                    </a:ln>
                  </pic:spPr>
                </pic:pic>
              </a:graphicData>
            </a:graphic>
          </wp:inline>
        </w:drawing>
      </w:r>
    </w:p>
    <w:p w14:paraId="3D4A4124"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p>
    <w:p w14:paraId="64B1C48A"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p>
    <w:p w14:paraId="12CDC065"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r w:rsidRPr="00367B2D">
        <w:rPr>
          <w:rFonts w:eastAsia="Times New Roman" w:cs="Arial"/>
          <w:b/>
          <w:bCs/>
          <w:i/>
          <w:iCs/>
          <w:szCs w:val="20"/>
          <w:u w:val="single"/>
          <w:lang w:val="es-ES" w:eastAsia="es-ES"/>
        </w:rPr>
        <w:lastRenderedPageBreak/>
        <w:t>Bienes muebles</w:t>
      </w:r>
    </w:p>
    <w:p w14:paraId="7A5AA97F"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03255FEE"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Este rubro del activo refleja el valor de los bienes muebles que poseen los Órganos Autónomos y que al  31 de marzo de 2024, asciende a $ 1,313,607,421 pesos y  representa el 29.5 %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 los cuales son necesarios para cubrir la operatividad y el desarrollo de las funciones de los diferentes entes que lo conforman.</w:t>
      </w:r>
    </w:p>
    <w:p w14:paraId="4BDDEB6D"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1B9D96C2"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drawing>
          <wp:inline distT="0" distB="0" distL="0" distR="0" wp14:anchorId="35F0D23A" wp14:editId="63163D8B">
            <wp:extent cx="3729600" cy="2437314"/>
            <wp:effectExtent l="0" t="0" r="4445"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9600" cy="2437314"/>
                    </a:xfrm>
                    <a:prstGeom prst="rect">
                      <a:avLst/>
                    </a:prstGeom>
                    <a:noFill/>
                    <a:ln>
                      <a:noFill/>
                    </a:ln>
                  </pic:spPr>
                </pic:pic>
              </a:graphicData>
            </a:graphic>
          </wp:inline>
        </w:drawing>
      </w:r>
    </w:p>
    <w:p w14:paraId="07AD5903"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203C74F9"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4A6046BA"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r w:rsidRPr="00367B2D">
        <w:rPr>
          <w:rFonts w:eastAsia="Times New Roman" w:cs="Arial"/>
          <w:b/>
          <w:bCs/>
          <w:i/>
          <w:iCs/>
          <w:szCs w:val="20"/>
          <w:u w:val="single"/>
          <w:lang w:val="es-ES" w:eastAsia="es-ES"/>
        </w:rPr>
        <w:t>Activos intangibles</w:t>
      </w:r>
    </w:p>
    <w:p w14:paraId="6A863857"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3A2C5B97"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Al 31 de marzo de 2024, este rubro asciende a $ 127,801,411 pesos y representa el valor de todos los bienes intangibles como son: software, patentes, marcas y derechos, licencias, así como, concesiones y franquicias, los cuales son necesarios para la operatividad y funcionamiento de las áreas administrativas de los Órganos Autónomos y representa el 2.9 % del activo no circulante.</w:t>
      </w:r>
    </w:p>
    <w:p w14:paraId="52C27E9B"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0A7FD67B"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drawing>
          <wp:inline distT="0" distB="0" distL="0" distR="0" wp14:anchorId="776FC262" wp14:editId="5EB9908B">
            <wp:extent cx="3729600" cy="1334514"/>
            <wp:effectExtent l="0" t="0" r="444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9600" cy="1334514"/>
                    </a:xfrm>
                    <a:prstGeom prst="rect">
                      <a:avLst/>
                    </a:prstGeom>
                    <a:noFill/>
                    <a:ln>
                      <a:noFill/>
                    </a:ln>
                  </pic:spPr>
                </pic:pic>
              </a:graphicData>
            </a:graphic>
          </wp:inline>
        </w:drawing>
      </w:r>
    </w:p>
    <w:p w14:paraId="6553DBD0"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5D249E11"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60D0D468"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r w:rsidRPr="00367B2D">
        <w:rPr>
          <w:rFonts w:eastAsia="Times New Roman" w:cs="Arial"/>
          <w:b/>
          <w:bCs/>
          <w:i/>
          <w:iCs/>
          <w:szCs w:val="20"/>
          <w:u w:val="single"/>
          <w:lang w:val="es-ES" w:eastAsia="es-ES"/>
        </w:rPr>
        <w:t>Depreciación, deterioro y amortización acumulada de bienes</w:t>
      </w:r>
    </w:p>
    <w:p w14:paraId="467178A4" w14:textId="77777777" w:rsidR="00367B2D" w:rsidRPr="00367B2D" w:rsidRDefault="00367B2D" w:rsidP="00367B2D">
      <w:pPr>
        <w:autoSpaceDE w:val="0"/>
        <w:autoSpaceDN w:val="0"/>
        <w:adjustRightInd w:val="0"/>
        <w:jc w:val="both"/>
        <w:rPr>
          <w:rFonts w:eastAsia="Times New Roman" w:cs="Arial"/>
          <w:b/>
          <w:bCs/>
          <w:i/>
          <w:szCs w:val="20"/>
          <w:lang w:val="es-ES" w:eastAsia="es-ES"/>
        </w:rPr>
      </w:pPr>
    </w:p>
    <w:p w14:paraId="0A2E03C6" w14:textId="77777777" w:rsidR="00367B2D" w:rsidRPr="00367B2D" w:rsidRDefault="00367B2D" w:rsidP="00367B2D">
      <w:pPr>
        <w:jc w:val="both"/>
        <w:rPr>
          <w:rFonts w:eastAsia="Times New Roman" w:cs="Arial"/>
          <w:iCs/>
          <w:szCs w:val="20"/>
          <w:lang w:val="es-ES" w:eastAsia="es-ES"/>
        </w:rPr>
      </w:pPr>
      <w:r w:rsidRPr="00367B2D">
        <w:rPr>
          <w:rFonts w:eastAsia="Times New Roman" w:cs="Arial"/>
          <w:iCs/>
          <w:szCs w:val="20"/>
          <w:lang w:val="es-ES" w:eastAsia="es-ES"/>
        </w:rPr>
        <w:t>Este rubro del activo refleja una cifra negativa por $ 121,103,858 pesos, representa una disminución del 2.7 % del activo no circulante y muestra el valor de la depreciación y deterioro efectuado a los bienes tangibles, que forman parte de los activos de los Órganos Autónomos, utilizando el procedimiento establecido por el Consejo Nacional de Armonización Contable, aplicado por los entes públicos en el ejercicio 2024.</w:t>
      </w:r>
    </w:p>
    <w:p w14:paraId="22536E64" w14:textId="77777777" w:rsidR="00367B2D" w:rsidRPr="00367B2D" w:rsidRDefault="00367B2D" w:rsidP="00367B2D">
      <w:pPr>
        <w:jc w:val="both"/>
        <w:rPr>
          <w:rFonts w:eastAsia="Times New Roman" w:cs="Arial"/>
          <w:iCs/>
          <w:szCs w:val="20"/>
          <w:lang w:val="es-ES" w:eastAsia="es-ES"/>
        </w:rPr>
      </w:pPr>
    </w:p>
    <w:p w14:paraId="75BEB34A" w14:textId="77777777" w:rsidR="00367B2D" w:rsidRPr="00367B2D" w:rsidRDefault="00367B2D" w:rsidP="00367B2D">
      <w:pPr>
        <w:jc w:val="center"/>
        <w:rPr>
          <w:rFonts w:eastAsia="Times New Roman" w:cs="Arial"/>
          <w:iCs/>
          <w:szCs w:val="20"/>
          <w:lang w:val="es-ES" w:eastAsia="es-ES"/>
        </w:rPr>
      </w:pPr>
      <w:r w:rsidRPr="00367B2D">
        <w:rPr>
          <w:rFonts w:ascii="Calibri" w:eastAsia="Calibri" w:hAnsi="Calibri" w:cs="Times New Roman"/>
          <w:noProof/>
          <w:sz w:val="22"/>
          <w:lang w:eastAsia="es-MX"/>
        </w:rPr>
        <w:lastRenderedPageBreak/>
        <w:drawing>
          <wp:inline distT="0" distB="0" distL="0" distR="0" wp14:anchorId="158428BA" wp14:editId="173E1712">
            <wp:extent cx="3729600" cy="1123915"/>
            <wp:effectExtent l="0" t="0" r="4445"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9600" cy="1123915"/>
                    </a:xfrm>
                    <a:prstGeom prst="rect">
                      <a:avLst/>
                    </a:prstGeom>
                    <a:noFill/>
                    <a:ln>
                      <a:noFill/>
                    </a:ln>
                  </pic:spPr>
                </pic:pic>
              </a:graphicData>
            </a:graphic>
          </wp:inline>
        </w:drawing>
      </w:r>
    </w:p>
    <w:p w14:paraId="2FF10A3B" w14:textId="77777777" w:rsidR="00367B2D" w:rsidRPr="00367B2D" w:rsidRDefault="00367B2D" w:rsidP="00367B2D">
      <w:pPr>
        <w:autoSpaceDE w:val="0"/>
        <w:autoSpaceDN w:val="0"/>
        <w:adjustRightInd w:val="0"/>
        <w:jc w:val="both"/>
        <w:rPr>
          <w:rFonts w:eastAsia="Times New Roman" w:cs="Arial"/>
          <w:b/>
          <w:bCs/>
          <w:i/>
          <w:iCs/>
          <w:szCs w:val="20"/>
          <w:lang w:val="es-ES" w:eastAsia="es-ES"/>
        </w:rPr>
      </w:pPr>
    </w:p>
    <w:p w14:paraId="4D224616" w14:textId="77777777" w:rsidR="00367B2D" w:rsidRPr="00367B2D" w:rsidRDefault="00367B2D" w:rsidP="00367B2D">
      <w:pPr>
        <w:autoSpaceDE w:val="0"/>
        <w:autoSpaceDN w:val="0"/>
        <w:adjustRightInd w:val="0"/>
        <w:jc w:val="both"/>
        <w:rPr>
          <w:rFonts w:eastAsia="Times New Roman" w:cs="Arial"/>
          <w:b/>
          <w:bCs/>
          <w:i/>
          <w:iCs/>
          <w:szCs w:val="20"/>
          <w:lang w:val="es-ES" w:eastAsia="es-ES"/>
        </w:rPr>
      </w:pPr>
    </w:p>
    <w:p w14:paraId="36E78CDD"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r w:rsidRPr="00367B2D">
        <w:rPr>
          <w:rFonts w:eastAsia="Times New Roman" w:cs="Arial"/>
          <w:b/>
          <w:bCs/>
          <w:i/>
          <w:iCs/>
          <w:szCs w:val="20"/>
          <w:u w:val="single"/>
          <w:lang w:val="es-ES" w:eastAsia="es-ES"/>
        </w:rPr>
        <w:t>Activos diferidos</w:t>
      </w:r>
    </w:p>
    <w:p w14:paraId="6C13D013" w14:textId="77777777" w:rsidR="00367B2D" w:rsidRPr="00367B2D" w:rsidRDefault="00367B2D" w:rsidP="00367B2D">
      <w:pPr>
        <w:autoSpaceDE w:val="0"/>
        <w:autoSpaceDN w:val="0"/>
        <w:adjustRightInd w:val="0"/>
        <w:jc w:val="both"/>
        <w:rPr>
          <w:rFonts w:eastAsia="Times New Roman" w:cs="Arial"/>
          <w:b/>
          <w:bCs/>
          <w:i/>
          <w:szCs w:val="20"/>
          <w:lang w:val="es-ES" w:eastAsia="es-ES"/>
        </w:rPr>
      </w:pPr>
    </w:p>
    <w:p w14:paraId="4F226848" w14:textId="77777777" w:rsidR="00367B2D" w:rsidRPr="00367B2D" w:rsidRDefault="00367B2D" w:rsidP="00367B2D">
      <w:pPr>
        <w:jc w:val="both"/>
        <w:rPr>
          <w:rFonts w:eastAsia="Arial" w:cs="Arial"/>
          <w:iCs/>
          <w:szCs w:val="20"/>
          <w:lang w:val="es-ES" w:eastAsia="es-ES"/>
        </w:rPr>
      </w:pPr>
      <w:r w:rsidRPr="00367B2D">
        <w:rPr>
          <w:rFonts w:eastAsia="Times New Roman" w:cs="Arial"/>
          <w:iCs/>
          <w:szCs w:val="20"/>
          <w:lang w:val="es-ES" w:eastAsia="es-ES"/>
        </w:rPr>
        <w:t xml:space="preserve">El saldo de este rubro asciende a $ 430,443,366 pesos y se integra por anticipos a proveedores por adquisición de bienes y prestación de servicios por $ 5,122,803 pesos, así también, por </w:t>
      </w:r>
      <w:r w:rsidRPr="00367B2D">
        <w:rPr>
          <w:rFonts w:eastAsia="Arial" w:cs="Arial"/>
          <w:iCs/>
          <w:szCs w:val="20"/>
          <w:lang w:val="es-ES" w:eastAsia="es-ES"/>
        </w:rPr>
        <w:t>operaciones financieras transitorias por regularizar al 31 de marzo de 2024, por $ 425,320,563 pesos, los cuales corresponde a ejercicios anteriores.</w:t>
      </w:r>
    </w:p>
    <w:p w14:paraId="760763E6" w14:textId="77777777" w:rsidR="00367B2D" w:rsidRPr="00367B2D" w:rsidRDefault="00367B2D" w:rsidP="00367B2D">
      <w:pPr>
        <w:jc w:val="both"/>
        <w:rPr>
          <w:rFonts w:eastAsia="Arial" w:cs="Arial"/>
          <w:iCs/>
          <w:szCs w:val="20"/>
          <w:lang w:val="es-ES" w:eastAsia="es-ES"/>
        </w:rPr>
      </w:pPr>
    </w:p>
    <w:p w14:paraId="14907547" w14:textId="77777777" w:rsidR="00367B2D" w:rsidRPr="00367B2D" w:rsidRDefault="00367B2D" w:rsidP="00367B2D">
      <w:pPr>
        <w:jc w:val="both"/>
        <w:rPr>
          <w:rFonts w:eastAsia="Times New Roman" w:cs="Arial"/>
          <w:iCs/>
          <w:szCs w:val="20"/>
          <w:lang w:val="es-ES" w:eastAsia="es-ES"/>
        </w:rPr>
      </w:pPr>
      <w:r w:rsidRPr="00367B2D">
        <w:rPr>
          <w:rFonts w:eastAsia="Times New Roman" w:cs="Arial"/>
          <w:iCs/>
          <w:szCs w:val="20"/>
          <w:lang w:val="es-ES" w:eastAsia="es-ES"/>
        </w:rPr>
        <w:t>A la fecha que se informa este rubro representa el 9.7 % respecto al total del activo no circulante.</w:t>
      </w:r>
    </w:p>
    <w:p w14:paraId="04EFEF0D" w14:textId="77777777" w:rsidR="00367B2D" w:rsidRPr="00367B2D" w:rsidRDefault="00367B2D" w:rsidP="00367B2D">
      <w:pPr>
        <w:jc w:val="both"/>
        <w:rPr>
          <w:rFonts w:eastAsia="Times New Roman" w:cs="Arial"/>
          <w:iCs/>
          <w:szCs w:val="20"/>
          <w:lang w:val="es-ES" w:eastAsia="es-ES"/>
        </w:rPr>
      </w:pPr>
    </w:p>
    <w:p w14:paraId="03B2796D" w14:textId="77777777" w:rsidR="00367B2D" w:rsidRPr="00367B2D" w:rsidRDefault="00367B2D" w:rsidP="00367B2D">
      <w:pPr>
        <w:tabs>
          <w:tab w:val="left" w:pos="4725"/>
          <w:tab w:val="left" w:pos="5505"/>
        </w:tabs>
        <w:jc w:val="center"/>
        <w:rPr>
          <w:rFonts w:eastAsia="Times New Roman" w:cs="Arial"/>
          <w:iCs/>
          <w:szCs w:val="20"/>
          <w:lang w:val="es-ES" w:eastAsia="es-ES"/>
        </w:rPr>
      </w:pPr>
      <w:r w:rsidRPr="00367B2D">
        <w:rPr>
          <w:rFonts w:ascii="Calibri" w:eastAsia="Calibri" w:hAnsi="Calibri" w:cs="Times New Roman"/>
          <w:noProof/>
          <w:sz w:val="22"/>
          <w:lang w:eastAsia="es-MX"/>
        </w:rPr>
        <w:drawing>
          <wp:inline distT="0" distB="0" distL="0" distR="0" wp14:anchorId="4D4E0881" wp14:editId="48235D42">
            <wp:extent cx="3729600" cy="1004269"/>
            <wp:effectExtent l="0" t="0" r="4445"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9600" cy="1004269"/>
                    </a:xfrm>
                    <a:prstGeom prst="rect">
                      <a:avLst/>
                    </a:prstGeom>
                    <a:noFill/>
                    <a:ln>
                      <a:noFill/>
                    </a:ln>
                  </pic:spPr>
                </pic:pic>
              </a:graphicData>
            </a:graphic>
          </wp:inline>
        </w:drawing>
      </w:r>
    </w:p>
    <w:p w14:paraId="70E90ACF" w14:textId="77777777" w:rsidR="00367B2D" w:rsidRPr="00367B2D" w:rsidRDefault="00367B2D" w:rsidP="00367B2D">
      <w:pPr>
        <w:jc w:val="both"/>
        <w:rPr>
          <w:rFonts w:eastAsia="Times New Roman" w:cs="Arial"/>
          <w:b/>
          <w:bCs/>
          <w:iCs/>
          <w:szCs w:val="20"/>
          <w:lang w:val="es-ES" w:eastAsia="es-ES"/>
        </w:rPr>
      </w:pPr>
    </w:p>
    <w:p w14:paraId="077465F1" w14:textId="77777777" w:rsidR="00367B2D" w:rsidRPr="00367B2D" w:rsidRDefault="00367B2D" w:rsidP="00367B2D">
      <w:pPr>
        <w:jc w:val="both"/>
        <w:rPr>
          <w:rFonts w:eastAsia="Times New Roman" w:cs="Arial"/>
          <w:b/>
          <w:bCs/>
          <w:iCs/>
          <w:szCs w:val="20"/>
          <w:lang w:val="es-ES" w:eastAsia="es-ES"/>
        </w:rPr>
      </w:pPr>
    </w:p>
    <w:p w14:paraId="17778EB1"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r w:rsidRPr="00367B2D">
        <w:rPr>
          <w:rFonts w:eastAsia="Times New Roman" w:cs="Arial"/>
          <w:b/>
          <w:bCs/>
          <w:i/>
          <w:iCs/>
          <w:szCs w:val="20"/>
          <w:u w:val="single"/>
          <w:lang w:val="es-ES" w:eastAsia="es-ES"/>
        </w:rPr>
        <w:t>Otros activos no circulantes</w:t>
      </w:r>
    </w:p>
    <w:p w14:paraId="60A9E25B" w14:textId="77777777" w:rsidR="00367B2D" w:rsidRPr="00367B2D" w:rsidRDefault="00367B2D" w:rsidP="00367B2D">
      <w:pPr>
        <w:jc w:val="both"/>
        <w:rPr>
          <w:rFonts w:eastAsia="Times New Roman" w:cs="Arial"/>
          <w:b/>
          <w:bCs/>
          <w:i/>
          <w:iCs/>
          <w:szCs w:val="20"/>
          <w:lang w:val="es-ES" w:eastAsia="es-ES"/>
        </w:rPr>
      </w:pPr>
    </w:p>
    <w:p w14:paraId="705DB6E4" w14:textId="419D8073" w:rsidR="00367B2D" w:rsidRPr="00367B2D" w:rsidRDefault="00367B2D" w:rsidP="00367B2D">
      <w:pPr>
        <w:jc w:val="both"/>
        <w:rPr>
          <w:rFonts w:eastAsia="Times New Roman" w:cs="Arial"/>
          <w:bCs/>
          <w:iCs/>
          <w:szCs w:val="20"/>
          <w:lang w:val="es-ES" w:eastAsia="es-ES"/>
        </w:rPr>
      </w:pPr>
      <w:r w:rsidRPr="00367B2D">
        <w:rPr>
          <w:rFonts w:eastAsia="Times New Roman" w:cs="Arial"/>
          <w:bCs/>
          <w:iCs/>
          <w:szCs w:val="20"/>
          <w:lang w:val="es-ES" w:eastAsia="es-ES"/>
        </w:rPr>
        <w:t>Al periodo que se informa, el saldo de este rubro asciende a $ 4,319,617 pesos y se integra por los bienes que fueron otorgados en calidad de comodato a la Fiscalía General del Estado.</w:t>
      </w:r>
    </w:p>
    <w:p w14:paraId="563E3001" w14:textId="77777777" w:rsidR="00367B2D" w:rsidRPr="00367B2D" w:rsidRDefault="00367B2D" w:rsidP="00367B2D">
      <w:pPr>
        <w:jc w:val="both"/>
        <w:rPr>
          <w:rFonts w:eastAsia="Times New Roman" w:cs="Arial"/>
          <w:bCs/>
          <w:iCs/>
          <w:szCs w:val="20"/>
          <w:lang w:val="es-ES" w:eastAsia="es-ES"/>
        </w:rPr>
      </w:pPr>
    </w:p>
    <w:p w14:paraId="2AC474D9" w14:textId="77777777" w:rsidR="00367B2D" w:rsidRPr="00367B2D" w:rsidRDefault="00367B2D" w:rsidP="00367B2D">
      <w:pPr>
        <w:jc w:val="both"/>
        <w:rPr>
          <w:rFonts w:eastAsia="Times New Roman" w:cs="Arial"/>
          <w:bCs/>
          <w:iCs/>
          <w:szCs w:val="20"/>
          <w:lang w:val="es-ES" w:eastAsia="es-ES"/>
        </w:rPr>
      </w:pPr>
      <w:r w:rsidRPr="00367B2D">
        <w:rPr>
          <w:rFonts w:eastAsia="Times New Roman" w:cs="Arial"/>
          <w:bCs/>
          <w:iCs/>
          <w:szCs w:val="20"/>
          <w:lang w:val="es-ES" w:eastAsia="es-ES"/>
        </w:rPr>
        <w:t xml:space="preserve">Representa el 0.1 % del total del activo no circulante. </w:t>
      </w:r>
      <w:r w:rsidRPr="00367B2D">
        <w:rPr>
          <w:rFonts w:eastAsia="Times New Roman" w:cs="Arial"/>
          <w:bCs/>
          <w:iCs/>
          <w:szCs w:val="20"/>
          <w:lang w:val="es-ES" w:eastAsia="es-ES"/>
        </w:rPr>
        <w:cr/>
      </w:r>
    </w:p>
    <w:p w14:paraId="4DC3848B" w14:textId="77777777" w:rsidR="00367B2D" w:rsidRPr="00367B2D" w:rsidRDefault="00367B2D" w:rsidP="00367B2D">
      <w:pPr>
        <w:jc w:val="center"/>
        <w:rPr>
          <w:rFonts w:eastAsia="Times New Roman" w:cs="Arial"/>
          <w:b/>
          <w:bCs/>
          <w:iCs/>
          <w:szCs w:val="20"/>
          <w:lang w:val="es-ES" w:eastAsia="es-ES"/>
        </w:rPr>
      </w:pPr>
      <w:r w:rsidRPr="00367B2D">
        <w:rPr>
          <w:rFonts w:ascii="Calibri" w:eastAsia="Calibri" w:hAnsi="Calibri" w:cs="Times New Roman"/>
          <w:noProof/>
          <w:sz w:val="22"/>
          <w:lang w:eastAsia="es-MX"/>
        </w:rPr>
        <w:drawing>
          <wp:inline distT="0" distB="0" distL="0" distR="0" wp14:anchorId="042919EF" wp14:editId="067E9818">
            <wp:extent cx="3729600" cy="842936"/>
            <wp:effectExtent l="0" t="0" r="444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9600" cy="842936"/>
                    </a:xfrm>
                    <a:prstGeom prst="rect">
                      <a:avLst/>
                    </a:prstGeom>
                    <a:noFill/>
                    <a:ln>
                      <a:noFill/>
                    </a:ln>
                  </pic:spPr>
                </pic:pic>
              </a:graphicData>
            </a:graphic>
          </wp:inline>
        </w:drawing>
      </w:r>
    </w:p>
    <w:p w14:paraId="60C0AEEC" w14:textId="77777777" w:rsidR="00367B2D" w:rsidRPr="00367B2D" w:rsidRDefault="00367B2D" w:rsidP="00367B2D">
      <w:pPr>
        <w:jc w:val="both"/>
        <w:rPr>
          <w:rFonts w:eastAsia="Times New Roman" w:cs="Arial"/>
          <w:b/>
          <w:bCs/>
          <w:iCs/>
          <w:szCs w:val="20"/>
          <w:lang w:val="es-ES" w:eastAsia="es-ES"/>
        </w:rPr>
      </w:pPr>
    </w:p>
    <w:p w14:paraId="5B037930" w14:textId="77777777" w:rsidR="00367B2D" w:rsidRPr="00367B2D" w:rsidRDefault="00367B2D" w:rsidP="00367B2D">
      <w:pPr>
        <w:jc w:val="both"/>
        <w:rPr>
          <w:rFonts w:eastAsia="Times New Roman" w:cs="Arial"/>
          <w:b/>
          <w:bCs/>
          <w:iCs/>
          <w:szCs w:val="20"/>
          <w:lang w:val="es-ES" w:eastAsia="es-ES"/>
        </w:rPr>
      </w:pPr>
    </w:p>
    <w:p w14:paraId="2F4CFE08" w14:textId="77777777" w:rsidR="00367B2D" w:rsidRPr="00367B2D" w:rsidRDefault="00367B2D" w:rsidP="00367B2D">
      <w:pPr>
        <w:jc w:val="both"/>
        <w:rPr>
          <w:rFonts w:eastAsia="Calibri" w:cs="Arial"/>
          <w:b/>
          <w:bCs/>
          <w:szCs w:val="20"/>
          <w:lang w:val="es-ES" w:eastAsia="es-ES"/>
        </w:rPr>
      </w:pPr>
      <w:bookmarkStart w:id="3" w:name="_Hlk125467269"/>
      <w:r w:rsidRPr="00367B2D">
        <w:rPr>
          <w:rFonts w:eastAsia="Calibri" w:cs="Arial"/>
          <w:b/>
          <w:bCs/>
          <w:szCs w:val="20"/>
          <w:lang w:val="es-ES" w:eastAsia="es-ES"/>
        </w:rPr>
        <w:t>Pasivo</w:t>
      </w:r>
    </w:p>
    <w:p w14:paraId="37BA3958" w14:textId="77777777" w:rsidR="00367B2D" w:rsidRPr="00367B2D" w:rsidRDefault="00367B2D" w:rsidP="00367B2D">
      <w:pPr>
        <w:autoSpaceDE w:val="0"/>
        <w:autoSpaceDN w:val="0"/>
        <w:adjustRightInd w:val="0"/>
        <w:jc w:val="both"/>
        <w:rPr>
          <w:rFonts w:eastAsia="Calibri" w:cs="Arial"/>
          <w:b/>
          <w:bCs/>
          <w:szCs w:val="20"/>
        </w:rPr>
      </w:pPr>
    </w:p>
    <w:bookmarkEnd w:id="3"/>
    <w:p w14:paraId="7E36C6E6"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Es el conjunto de cuentas que permite el registro de las obligaciones contraídas por los Órganos Autónomos, para el desarrollo de sus funciones y la prestación de los servicios públicos. Al 31 de marzo de 2024,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16794EE8" w14:textId="77777777" w:rsidR="00367B2D" w:rsidRPr="00367B2D" w:rsidRDefault="00367B2D" w:rsidP="00367B2D">
      <w:pPr>
        <w:autoSpaceDE w:val="0"/>
        <w:autoSpaceDN w:val="0"/>
        <w:adjustRightInd w:val="0"/>
        <w:jc w:val="both"/>
        <w:rPr>
          <w:rFonts w:eastAsia="Times New Roman" w:cs="Arial"/>
          <w:b/>
          <w:bCs/>
          <w:iCs/>
          <w:szCs w:val="20"/>
          <w:lang w:val="es-ES" w:eastAsia="es-ES"/>
        </w:rPr>
      </w:pPr>
    </w:p>
    <w:p w14:paraId="17264EAC" w14:textId="77777777" w:rsidR="00367B2D" w:rsidRDefault="00367B2D">
      <w:pPr>
        <w:spacing w:after="160" w:line="259" w:lineRule="auto"/>
        <w:rPr>
          <w:rFonts w:eastAsia="Calibri" w:cs="Arial"/>
          <w:b/>
          <w:bCs/>
          <w:szCs w:val="20"/>
          <w:lang w:val="es-ES" w:eastAsia="es-ES"/>
        </w:rPr>
      </w:pPr>
      <w:r>
        <w:rPr>
          <w:rFonts w:eastAsia="Calibri" w:cs="Arial"/>
          <w:b/>
          <w:bCs/>
          <w:szCs w:val="20"/>
          <w:lang w:val="es-ES" w:eastAsia="es-ES"/>
        </w:rPr>
        <w:br w:type="page"/>
      </w:r>
    </w:p>
    <w:p w14:paraId="46D4DCBE" w14:textId="19FCED3F"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lastRenderedPageBreak/>
        <w:t>Circulante</w:t>
      </w:r>
    </w:p>
    <w:p w14:paraId="6F254348" w14:textId="77777777" w:rsidR="00367B2D" w:rsidRPr="00367B2D" w:rsidRDefault="00367B2D" w:rsidP="00367B2D">
      <w:pPr>
        <w:autoSpaceDE w:val="0"/>
        <w:autoSpaceDN w:val="0"/>
        <w:adjustRightInd w:val="0"/>
        <w:jc w:val="both"/>
        <w:rPr>
          <w:rFonts w:eastAsia="Calibri" w:cs="Arial"/>
          <w:b/>
          <w:bCs/>
          <w:szCs w:val="20"/>
        </w:rPr>
      </w:pPr>
    </w:p>
    <w:p w14:paraId="03930E55" w14:textId="62BD79F7" w:rsidR="00367B2D" w:rsidRPr="00367B2D" w:rsidRDefault="00367B2D" w:rsidP="00367B2D">
      <w:pPr>
        <w:autoSpaceDE w:val="0"/>
        <w:autoSpaceDN w:val="0"/>
        <w:adjustRightInd w:val="0"/>
        <w:jc w:val="center"/>
        <w:rPr>
          <w:rFonts w:eastAsia="Times New Roman" w:cs="Arial"/>
          <w:b/>
          <w:bCs/>
          <w:i/>
          <w:iCs/>
          <w:szCs w:val="20"/>
          <w:lang w:val="es-ES" w:eastAsia="es-ES"/>
        </w:rPr>
      </w:pPr>
      <w:r>
        <w:rPr>
          <w:rFonts w:eastAsia="Times New Roman" w:cs="Arial"/>
          <w:b/>
          <w:bCs/>
          <w:i/>
          <w:iCs/>
          <w:noProof/>
          <w:szCs w:val="20"/>
          <w:lang w:val="es-ES" w:eastAsia="es-ES"/>
        </w:rPr>
        <w:drawing>
          <wp:inline distT="0" distB="0" distL="0" distR="0" wp14:anchorId="55D63670" wp14:editId="6E698FC5">
            <wp:extent cx="3816350" cy="2188845"/>
            <wp:effectExtent l="0" t="0" r="0" b="190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6350" cy="2188845"/>
                    </a:xfrm>
                    <a:prstGeom prst="rect">
                      <a:avLst/>
                    </a:prstGeom>
                    <a:noFill/>
                  </pic:spPr>
                </pic:pic>
              </a:graphicData>
            </a:graphic>
          </wp:inline>
        </w:drawing>
      </w:r>
    </w:p>
    <w:p w14:paraId="3B997905" w14:textId="77777777" w:rsidR="00367B2D" w:rsidRPr="00367B2D" w:rsidRDefault="00367B2D" w:rsidP="00367B2D">
      <w:pPr>
        <w:autoSpaceDE w:val="0"/>
        <w:autoSpaceDN w:val="0"/>
        <w:adjustRightInd w:val="0"/>
        <w:jc w:val="center"/>
        <w:rPr>
          <w:rFonts w:eastAsia="Times New Roman" w:cs="Arial"/>
          <w:b/>
          <w:bCs/>
          <w:i/>
          <w:iCs/>
          <w:szCs w:val="20"/>
          <w:lang w:val="es-ES" w:eastAsia="es-ES"/>
        </w:rPr>
      </w:pPr>
    </w:p>
    <w:p w14:paraId="09C479C1" w14:textId="77777777" w:rsidR="00367B2D" w:rsidRPr="00367B2D" w:rsidRDefault="00367B2D" w:rsidP="00367B2D">
      <w:pPr>
        <w:autoSpaceDE w:val="0"/>
        <w:autoSpaceDN w:val="0"/>
        <w:adjustRightInd w:val="0"/>
        <w:jc w:val="center"/>
        <w:rPr>
          <w:rFonts w:eastAsia="Times New Roman" w:cs="Arial"/>
          <w:b/>
          <w:bCs/>
          <w:i/>
          <w:iCs/>
          <w:szCs w:val="20"/>
          <w:lang w:val="es-ES" w:eastAsia="es-ES"/>
        </w:rPr>
      </w:pPr>
    </w:p>
    <w:p w14:paraId="517F98C9"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r w:rsidRPr="00367B2D">
        <w:rPr>
          <w:rFonts w:eastAsia="Times New Roman" w:cs="Arial"/>
          <w:b/>
          <w:bCs/>
          <w:i/>
          <w:iCs/>
          <w:szCs w:val="20"/>
          <w:u w:val="single"/>
          <w:lang w:val="es-ES" w:eastAsia="es-ES"/>
        </w:rPr>
        <w:t>Cuentas por pagar a corto plazo</w:t>
      </w:r>
    </w:p>
    <w:p w14:paraId="27152F49"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72C3DC4F" w14:textId="77777777" w:rsidR="00367B2D" w:rsidRPr="00367B2D" w:rsidRDefault="00367B2D" w:rsidP="00367B2D">
      <w:pPr>
        <w:jc w:val="both"/>
        <w:rPr>
          <w:rFonts w:eastAsia="Times New Roman" w:cs="Arial"/>
          <w:iCs/>
          <w:szCs w:val="20"/>
          <w:lang w:val="es-ES" w:eastAsia="es-ES"/>
        </w:rPr>
      </w:pPr>
      <w:r w:rsidRPr="00367B2D">
        <w:rPr>
          <w:rFonts w:eastAsia="Times New Roman" w:cs="Arial"/>
          <w:iCs/>
          <w:szCs w:val="20"/>
          <w:lang w:val="es-ES" w:eastAsia="es-ES"/>
        </w:rPr>
        <w:t>Este rubro del pasivo, refleja el registro de prestaciones salariales como son: sueldos y salarios, previsión social múltiple, prima vacacional y dominical, incentivos y estímulos y aguinaldo devengado no pagado a la fecha que se informa, las aportaciones patronales al IMSS, INFONAVIT, FPSSTSP, y el 2 % del Impuesto Sobre Nóminas; además, por los compromisos contraídos por la adquisición de bienes de consumo e inventariables, por la contratación de servicios con proveedores, y por las obligaciones contraídas con contratistas por obras públicas.</w:t>
      </w:r>
    </w:p>
    <w:p w14:paraId="5EE7A5E7" w14:textId="77777777" w:rsidR="00367B2D" w:rsidRPr="00367B2D" w:rsidRDefault="00367B2D" w:rsidP="00367B2D">
      <w:pPr>
        <w:jc w:val="both"/>
        <w:outlineLvl w:val="0"/>
        <w:rPr>
          <w:rFonts w:eastAsia="Times New Roman" w:cs="Arial"/>
          <w:iCs/>
          <w:szCs w:val="20"/>
          <w:lang w:val="es-ES" w:eastAsia="es-ES"/>
        </w:rPr>
      </w:pPr>
    </w:p>
    <w:p w14:paraId="77D47BA3" w14:textId="77777777" w:rsidR="00367B2D" w:rsidRPr="00367B2D" w:rsidRDefault="00367B2D" w:rsidP="00367B2D">
      <w:pPr>
        <w:jc w:val="both"/>
        <w:outlineLvl w:val="0"/>
        <w:rPr>
          <w:rFonts w:eastAsia="Times New Roman" w:cs="Arial"/>
          <w:iCs/>
          <w:szCs w:val="20"/>
          <w:lang w:val="es-ES" w:eastAsia="es-ES"/>
        </w:rPr>
      </w:pPr>
      <w:r w:rsidRPr="00367B2D">
        <w:rPr>
          <w:rFonts w:eastAsia="Times New Roman" w:cs="Arial"/>
          <w:iCs/>
          <w:szCs w:val="20"/>
          <w:lang w:val="es-ES" w:eastAsia="es-ES"/>
        </w:rPr>
        <w:t>También, se integra por los recursos por subsidios a entes públicos de los órganos autónomos.</w:t>
      </w:r>
    </w:p>
    <w:p w14:paraId="2D980B8F" w14:textId="77777777" w:rsidR="00367B2D" w:rsidRPr="00367B2D" w:rsidRDefault="00367B2D" w:rsidP="00367B2D">
      <w:pPr>
        <w:jc w:val="both"/>
        <w:outlineLvl w:val="0"/>
        <w:rPr>
          <w:rFonts w:eastAsia="Times New Roman" w:cs="Arial"/>
          <w:iCs/>
          <w:szCs w:val="20"/>
          <w:lang w:val="es-ES" w:eastAsia="es-ES"/>
        </w:rPr>
      </w:pPr>
    </w:p>
    <w:p w14:paraId="3D0043CB"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Se incluyen en este rubro, el registro de las retenciones por servicios personales: ISSS, 2 % del impuesto sobre nóminas, seguro de vida, estímulos, cuota FPSSTSP, cuota IMSS, crédito INFONAVIT, cuota</w:t>
      </w:r>
      <w:r w:rsidRPr="00367B2D">
        <w:rPr>
          <w:rFonts w:ascii="Calibri" w:eastAsia="Calibri" w:hAnsi="Calibri" w:cs="Times New Roman"/>
          <w:sz w:val="22"/>
        </w:rPr>
        <w:t xml:space="preserve"> </w:t>
      </w:r>
      <w:r w:rsidRPr="00367B2D">
        <w:rPr>
          <w:rFonts w:eastAsia="Times New Roman" w:cs="Arial"/>
          <w:iCs/>
          <w:szCs w:val="20"/>
          <w:lang w:val="es-ES" w:eastAsia="es-ES"/>
        </w:rPr>
        <w:t>ISSSTE, cuota FOVISSSTE, SAR, crédito FONACOT, recuperación de préstamos, cuota sindical, préstamos con instituciones financieras, estímulos, disciplinarios, pensión alimenticia; además, de las retenciones y contribuciones a favor de terceros, 2 % del Impuesto Sobre Nóminas de prestadores de servicios, IVA por pagar, así como, el ISR por honorarios y/o arrendamiento de inmuebles.</w:t>
      </w:r>
    </w:p>
    <w:p w14:paraId="4E358A3A"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7704B7D9" w14:textId="77777777" w:rsidR="00367B2D" w:rsidRPr="00367B2D" w:rsidRDefault="00367B2D" w:rsidP="00367B2D">
      <w:pPr>
        <w:jc w:val="both"/>
        <w:rPr>
          <w:rFonts w:eastAsia="Times New Roman" w:cs="Arial"/>
          <w:iCs/>
          <w:szCs w:val="20"/>
          <w:lang w:val="es-ES" w:eastAsia="es-ES"/>
        </w:rPr>
      </w:pPr>
      <w:r w:rsidRPr="00367B2D">
        <w:rPr>
          <w:rFonts w:eastAsia="Times New Roman" w:cs="Arial"/>
          <w:iCs/>
          <w:szCs w:val="20"/>
          <w:lang w:val="es-ES" w:eastAsia="es-ES"/>
        </w:rPr>
        <w:t>Por otra parte, se incluyen los rendimientos bancarios, los pagos y percepciones indebidas y los reintegros por aplicar, entre otros.</w:t>
      </w:r>
    </w:p>
    <w:p w14:paraId="0B0DE570" w14:textId="77777777" w:rsidR="00367B2D" w:rsidRPr="00367B2D" w:rsidRDefault="00367B2D" w:rsidP="00367B2D">
      <w:pPr>
        <w:jc w:val="both"/>
        <w:rPr>
          <w:rFonts w:eastAsia="Times New Roman" w:cs="Arial"/>
          <w:iCs/>
          <w:szCs w:val="20"/>
          <w:lang w:val="es-ES" w:eastAsia="es-ES"/>
        </w:rPr>
      </w:pPr>
    </w:p>
    <w:p w14:paraId="2F27B8DA" w14:textId="77777777" w:rsidR="00367B2D" w:rsidRPr="00367B2D" w:rsidRDefault="00367B2D" w:rsidP="00367B2D">
      <w:pPr>
        <w:jc w:val="both"/>
        <w:rPr>
          <w:rFonts w:eastAsia="Times New Roman" w:cs="Arial"/>
          <w:iCs/>
          <w:szCs w:val="20"/>
          <w:lang w:val="es-ES" w:eastAsia="es-ES"/>
        </w:rPr>
      </w:pPr>
      <w:r w:rsidRPr="00367B2D">
        <w:rPr>
          <w:rFonts w:eastAsia="Times New Roman" w:cs="Arial"/>
          <w:iCs/>
          <w:szCs w:val="20"/>
          <w:lang w:val="es-ES" w:eastAsia="es-ES"/>
        </w:rPr>
        <w:t>Asimismo, incluye las retenciones efectuadas a los contratistas por obra pública, por los siguientes conceptos:</w:t>
      </w:r>
    </w:p>
    <w:p w14:paraId="21EB61C2" w14:textId="77777777" w:rsidR="00367B2D" w:rsidRPr="00367B2D" w:rsidRDefault="00367B2D" w:rsidP="00367B2D">
      <w:pPr>
        <w:jc w:val="both"/>
        <w:rPr>
          <w:rFonts w:eastAsia="Times New Roman" w:cs="Arial"/>
          <w:iCs/>
          <w:szCs w:val="20"/>
          <w:lang w:val="es-ES" w:eastAsia="es-ES"/>
        </w:rPr>
      </w:pPr>
    </w:p>
    <w:p w14:paraId="5E120BCB" w14:textId="77777777" w:rsidR="00367B2D" w:rsidRPr="00367B2D" w:rsidRDefault="00367B2D" w:rsidP="00367B2D">
      <w:pPr>
        <w:numPr>
          <w:ilvl w:val="0"/>
          <w:numId w:val="38"/>
        </w:numPr>
        <w:spacing w:after="120"/>
        <w:ind w:left="357" w:hanging="357"/>
        <w:jc w:val="both"/>
        <w:rPr>
          <w:rFonts w:eastAsia="Calibri" w:cs="Times New Roman"/>
          <w:szCs w:val="20"/>
        </w:rPr>
      </w:pPr>
      <w:r w:rsidRPr="00367B2D">
        <w:rPr>
          <w:rFonts w:eastAsia="Calibri" w:cs="Times New Roman"/>
          <w:szCs w:val="20"/>
        </w:rPr>
        <w:t>1 % de Aportación al Estado para Obras de Beneficio Social.</w:t>
      </w:r>
    </w:p>
    <w:p w14:paraId="755B4D0D" w14:textId="77777777" w:rsidR="00367B2D" w:rsidRPr="00367B2D" w:rsidRDefault="00367B2D" w:rsidP="00367B2D">
      <w:pPr>
        <w:numPr>
          <w:ilvl w:val="0"/>
          <w:numId w:val="38"/>
        </w:numPr>
        <w:spacing w:after="120"/>
        <w:ind w:hanging="357"/>
        <w:jc w:val="both"/>
        <w:rPr>
          <w:rFonts w:eastAsia="Calibri" w:cs="Times New Roman"/>
          <w:szCs w:val="20"/>
        </w:rPr>
      </w:pPr>
      <w:r w:rsidRPr="00367B2D">
        <w:rPr>
          <w:rFonts w:eastAsia="Calibri" w:cs="Times New Roman"/>
          <w:szCs w:val="20"/>
        </w:rPr>
        <w:t>5 al millar de inspección y vigilancia.</w:t>
      </w:r>
    </w:p>
    <w:p w14:paraId="4AA7D18D" w14:textId="77777777" w:rsidR="00367B2D" w:rsidRPr="00367B2D" w:rsidRDefault="00367B2D" w:rsidP="00367B2D">
      <w:pPr>
        <w:jc w:val="both"/>
        <w:rPr>
          <w:rFonts w:eastAsia="Times New Roman" w:cs="Arial"/>
          <w:iCs/>
          <w:szCs w:val="20"/>
          <w:lang w:val="es-ES" w:eastAsia="es-ES"/>
        </w:rPr>
      </w:pPr>
    </w:p>
    <w:p w14:paraId="231EE25F"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El saldo de este rubro al 31 de marzo de 2024 ascendió a $ 461,452,238 pesos, y representa el 99.4 % del total del pasivo circulante.</w:t>
      </w:r>
    </w:p>
    <w:p w14:paraId="72DF094F"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717521BE"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lastRenderedPageBreak/>
        <w:drawing>
          <wp:inline distT="0" distB="0" distL="0" distR="0" wp14:anchorId="40A6BDB3" wp14:editId="13607542">
            <wp:extent cx="3729600" cy="2114108"/>
            <wp:effectExtent l="0" t="0" r="4445"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9600" cy="2114108"/>
                    </a:xfrm>
                    <a:prstGeom prst="rect">
                      <a:avLst/>
                    </a:prstGeom>
                    <a:noFill/>
                    <a:ln>
                      <a:noFill/>
                    </a:ln>
                  </pic:spPr>
                </pic:pic>
              </a:graphicData>
            </a:graphic>
          </wp:inline>
        </w:drawing>
      </w:r>
    </w:p>
    <w:p w14:paraId="359C7494" w14:textId="77777777" w:rsidR="00367B2D" w:rsidRPr="00367B2D" w:rsidRDefault="00367B2D" w:rsidP="00367B2D">
      <w:pPr>
        <w:autoSpaceDE w:val="0"/>
        <w:autoSpaceDN w:val="0"/>
        <w:adjustRightInd w:val="0"/>
        <w:jc w:val="both"/>
        <w:rPr>
          <w:rFonts w:eastAsia="Times New Roman" w:cs="Arial"/>
          <w:b/>
          <w:i/>
          <w:iCs/>
          <w:szCs w:val="20"/>
          <w:lang w:val="es-ES" w:eastAsia="es-ES"/>
        </w:rPr>
      </w:pPr>
    </w:p>
    <w:p w14:paraId="4E3123A9" w14:textId="77777777" w:rsidR="00367B2D" w:rsidRPr="00367B2D" w:rsidRDefault="00367B2D" w:rsidP="00367B2D">
      <w:pPr>
        <w:autoSpaceDE w:val="0"/>
        <w:autoSpaceDN w:val="0"/>
        <w:adjustRightInd w:val="0"/>
        <w:jc w:val="both"/>
        <w:rPr>
          <w:rFonts w:eastAsia="Times New Roman" w:cs="Arial"/>
          <w:b/>
          <w:i/>
          <w:iCs/>
          <w:szCs w:val="20"/>
          <w:lang w:val="es-ES" w:eastAsia="es-ES"/>
        </w:rPr>
      </w:pPr>
    </w:p>
    <w:p w14:paraId="4E31F8B0"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r w:rsidRPr="00367B2D">
        <w:rPr>
          <w:rFonts w:eastAsia="Times New Roman" w:cs="Arial"/>
          <w:b/>
          <w:bCs/>
          <w:i/>
          <w:iCs/>
          <w:szCs w:val="20"/>
          <w:u w:val="single"/>
          <w:lang w:val="es-ES" w:eastAsia="es-ES"/>
        </w:rPr>
        <w:t>Provisiones a corto plazo</w:t>
      </w:r>
    </w:p>
    <w:p w14:paraId="6E1E6029"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1E5BF823"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Este rubro representa la provisión para demandas y juicios y provisión para contingencias a corto plazo para hacer frente a casos fortuitos, que resulten de la operatividad de los entes públicos que conforman los órganos autónomos.</w:t>
      </w:r>
    </w:p>
    <w:p w14:paraId="494B1847"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60EF3328"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Al 31 de marzo de 2024, este rubro representa el 0.1 % respecto al total del pasivo circulante, con un importe de $ 478,371 pesos.</w:t>
      </w:r>
    </w:p>
    <w:p w14:paraId="538A7DCA"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03089CAE"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drawing>
          <wp:inline distT="0" distB="0" distL="0" distR="0" wp14:anchorId="3AFA9E2D" wp14:editId="0D74FA16">
            <wp:extent cx="3729600" cy="1235982"/>
            <wp:effectExtent l="0" t="0" r="4445"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29600" cy="1235982"/>
                    </a:xfrm>
                    <a:prstGeom prst="rect">
                      <a:avLst/>
                    </a:prstGeom>
                    <a:noFill/>
                    <a:ln>
                      <a:noFill/>
                    </a:ln>
                  </pic:spPr>
                </pic:pic>
              </a:graphicData>
            </a:graphic>
          </wp:inline>
        </w:drawing>
      </w:r>
    </w:p>
    <w:p w14:paraId="7C6F8112"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5CB782C8"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07210B26"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r w:rsidRPr="00367B2D">
        <w:rPr>
          <w:rFonts w:eastAsia="Times New Roman" w:cs="Arial"/>
          <w:b/>
          <w:bCs/>
          <w:i/>
          <w:iCs/>
          <w:szCs w:val="20"/>
          <w:u w:val="single"/>
          <w:lang w:val="es-ES" w:eastAsia="es-ES"/>
        </w:rPr>
        <w:t>Otros pasivos a corto plazo</w:t>
      </w:r>
    </w:p>
    <w:p w14:paraId="19B57824"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61CEAD8E"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Al 31 de marzo de 2024, este rubro asciende a $ 2,229,745 pesos y está integrado principalmente por los ingresos por clasificar, así como, los abonos bancarios por aclarar. Este rubro representa el 0.5 % del pasivo circulante.</w:t>
      </w:r>
    </w:p>
    <w:p w14:paraId="50E50E6E"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7E6776BC"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drawing>
          <wp:inline distT="0" distB="0" distL="0" distR="0" wp14:anchorId="0F59BE31" wp14:editId="6C9A551B">
            <wp:extent cx="3729600" cy="1004269"/>
            <wp:effectExtent l="0" t="0" r="4445" b="571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9600" cy="1004269"/>
                    </a:xfrm>
                    <a:prstGeom prst="rect">
                      <a:avLst/>
                    </a:prstGeom>
                    <a:noFill/>
                    <a:ln>
                      <a:noFill/>
                    </a:ln>
                  </pic:spPr>
                </pic:pic>
              </a:graphicData>
            </a:graphic>
          </wp:inline>
        </w:drawing>
      </w:r>
    </w:p>
    <w:p w14:paraId="62431643" w14:textId="77777777" w:rsidR="00367B2D" w:rsidRPr="00367B2D" w:rsidRDefault="00367B2D" w:rsidP="00367B2D">
      <w:pPr>
        <w:jc w:val="both"/>
        <w:rPr>
          <w:rFonts w:eastAsia="Times New Roman" w:cs="Arial"/>
          <w:iCs/>
          <w:szCs w:val="20"/>
          <w:lang w:val="es-ES" w:eastAsia="es-ES"/>
        </w:rPr>
      </w:pPr>
    </w:p>
    <w:p w14:paraId="42B9EDDE" w14:textId="77777777" w:rsidR="00367B2D" w:rsidRPr="00367B2D" w:rsidRDefault="00367B2D" w:rsidP="00367B2D">
      <w:pPr>
        <w:jc w:val="both"/>
        <w:rPr>
          <w:rFonts w:eastAsia="Times New Roman" w:cs="Arial"/>
          <w:iCs/>
          <w:szCs w:val="20"/>
          <w:lang w:val="es-ES" w:eastAsia="es-ES"/>
        </w:rPr>
      </w:pPr>
    </w:p>
    <w:p w14:paraId="71E73C35" w14:textId="77777777" w:rsidR="00367B2D" w:rsidRPr="00367B2D" w:rsidRDefault="00367B2D" w:rsidP="00367B2D">
      <w:pPr>
        <w:jc w:val="both"/>
        <w:rPr>
          <w:rFonts w:eastAsia="Times New Roman" w:cs="Arial"/>
          <w:iCs/>
          <w:szCs w:val="20"/>
          <w:lang w:val="es-ES" w:eastAsia="es-ES"/>
        </w:rPr>
      </w:pPr>
    </w:p>
    <w:p w14:paraId="4EFD9FEF" w14:textId="77777777" w:rsidR="00367B2D" w:rsidRPr="00367B2D" w:rsidRDefault="00367B2D" w:rsidP="00367B2D">
      <w:pPr>
        <w:jc w:val="both"/>
        <w:rPr>
          <w:rFonts w:eastAsia="Times New Roman" w:cs="Arial"/>
          <w:iCs/>
          <w:szCs w:val="20"/>
          <w:lang w:val="es-ES" w:eastAsia="es-ES"/>
        </w:rPr>
      </w:pPr>
    </w:p>
    <w:p w14:paraId="083CA397" w14:textId="77777777" w:rsidR="00367B2D" w:rsidRPr="00367B2D" w:rsidRDefault="00367B2D" w:rsidP="00367B2D">
      <w:pPr>
        <w:jc w:val="both"/>
        <w:rPr>
          <w:rFonts w:eastAsia="Times New Roman" w:cs="Arial"/>
          <w:iCs/>
          <w:szCs w:val="20"/>
          <w:lang w:val="es-ES" w:eastAsia="es-ES"/>
        </w:rPr>
      </w:pPr>
    </w:p>
    <w:p w14:paraId="195C814B" w14:textId="77777777" w:rsidR="00367B2D" w:rsidRPr="00367B2D" w:rsidRDefault="00367B2D" w:rsidP="00367B2D">
      <w:pPr>
        <w:jc w:val="both"/>
        <w:rPr>
          <w:rFonts w:eastAsia="Times New Roman" w:cs="Arial"/>
          <w:iCs/>
          <w:szCs w:val="20"/>
          <w:lang w:val="es-ES" w:eastAsia="es-ES"/>
        </w:rPr>
      </w:pPr>
    </w:p>
    <w:p w14:paraId="17B82C11" w14:textId="77777777" w:rsidR="00367B2D" w:rsidRDefault="00367B2D">
      <w:pPr>
        <w:spacing w:after="160" w:line="259" w:lineRule="auto"/>
        <w:rPr>
          <w:rFonts w:eastAsia="Calibri" w:cs="Arial"/>
          <w:b/>
          <w:bCs/>
          <w:szCs w:val="20"/>
          <w:lang w:val="es-ES" w:eastAsia="es-ES"/>
        </w:rPr>
      </w:pPr>
      <w:r>
        <w:rPr>
          <w:rFonts w:eastAsia="Calibri" w:cs="Arial"/>
          <w:b/>
          <w:bCs/>
          <w:szCs w:val="20"/>
          <w:lang w:val="es-ES" w:eastAsia="es-ES"/>
        </w:rPr>
        <w:br w:type="page"/>
      </w:r>
    </w:p>
    <w:p w14:paraId="0CD8DEE2" w14:textId="77BFE4C4"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lastRenderedPageBreak/>
        <w:t>No circulante</w:t>
      </w:r>
    </w:p>
    <w:p w14:paraId="76EB4643" w14:textId="77777777" w:rsidR="00367B2D" w:rsidRPr="00367B2D" w:rsidRDefault="00367B2D" w:rsidP="00367B2D">
      <w:pPr>
        <w:autoSpaceDE w:val="0"/>
        <w:autoSpaceDN w:val="0"/>
        <w:adjustRightInd w:val="0"/>
        <w:jc w:val="both"/>
        <w:rPr>
          <w:rFonts w:eastAsia="Calibri" w:cs="Arial"/>
          <w:b/>
          <w:bCs/>
          <w:szCs w:val="20"/>
        </w:rPr>
      </w:pPr>
    </w:p>
    <w:p w14:paraId="3AF36117" w14:textId="4ABAFF21" w:rsidR="00367B2D" w:rsidRPr="00367B2D" w:rsidRDefault="00367B2D" w:rsidP="00367B2D">
      <w:pPr>
        <w:autoSpaceDE w:val="0"/>
        <w:autoSpaceDN w:val="0"/>
        <w:adjustRightInd w:val="0"/>
        <w:jc w:val="center"/>
        <w:rPr>
          <w:rFonts w:eastAsia="Times New Roman" w:cs="Arial"/>
          <w:b/>
          <w:bCs/>
          <w:i/>
          <w:szCs w:val="20"/>
          <w:lang w:val="es-ES" w:eastAsia="es-ES"/>
        </w:rPr>
      </w:pPr>
      <w:r>
        <w:rPr>
          <w:rFonts w:eastAsia="Times New Roman" w:cs="Arial"/>
          <w:b/>
          <w:bCs/>
          <w:i/>
          <w:noProof/>
          <w:szCs w:val="20"/>
          <w:lang w:val="es-ES" w:eastAsia="es-ES"/>
        </w:rPr>
        <w:drawing>
          <wp:inline distT="0" distB="0" distL="0" distR="0" wp14:anchorId="1EB732A7" wp14:editId="4B37B3A2">
            <wp:extent cx="3729600" cy="2050136"/>
            <wp:effectExtent l="0" t="0" r="4445" b="762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9600" cy="2050136"/>
                    </a:xfrm>
                    <a:prstGeom prst="rect">
                      <a:avLst/>
                    </a:prstGeom>
                    <a:noFill/>
                  </pic:spPr>
                </pic:pic>
              </a:graphicData>
            </a:graphic>
          </wp:inline>
        </w:drawing>
      </w:r>
    </w:p>
    <w:p w14:paraId="25E086CC" w14:textId="77777777" w:rsidR="00367B2D" w:rsidRPr="00367B2D" w:rsidRDefault="00367B2D" w:rsidP="00367B2D">
      <w:pPr>
        <w:autoSpaceDE w:val="0"/>
        <w:autoSpaceDN w:val="0"/>
        <w:adjustRightInd w:val="0"/>
        <w:jc w:val="both"/>
        <w:rPr>
          <w:rFonts w:eastAsia="Times New Roman" w:cs="Arial"/>
          <w:b/>
          <w:bCs/>
          <w:i/>
          <w:szCs w:val="20"/>
          <w:lang w:val="es-ES" w:eastAsia="es-ES"/>
        </w:rPr>
      </w:pPr>
    </w:p>
    <w:p w14:paraId="31A018FA" w14:textId="77777777" w:rsidR="00367B2D" w:rsidRPr="00367B2D" w:rsidRDefault="00367B2D" w:rsidP="00367B2D">
      <w:pPr>
        <w:autoSpaceDE w:val="0"/>
        <w:autoSpaceDN w:val="0"/>
        <w:adjustRightInd w:val="0"/>
        <w:jc w:val="both"/>
        <w:rPr>
          <w:rFonts w:eastAsia="Times New Roman" w:cs="Arial"/>
          <w:b/>
          <w:bCs/>
          <w:i/>
          <w:szCs w:val="20"/>
          <w:lang w:val="es-ES" w:eastAsia="es-ES"/>
        </w:rPr>
      </w:pPr>
    </w:p>
    <w:p w14:paraId="65EAF2A1"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r w:rsidRPr="00367B2D">
        <w:rPr>
          <w:rFonts w:eastAsia="Times New Roman" w:cs="Arial"/>
          <w:b/>
          <w:bCs/>
          <w:i/>
          <w:iCs/>
          <w:szCs w:val="20"/>
          <w:u w:val="single"/>
          <w:lang w:val="es-ES" w:eastAsia="es-ES"/>
        </w:rPr>
        <w:t>Cuentas por pagar a largo plazo</w:t>
      </w:r>
    </w:p>
    <w:p w14:paraId="016AF318"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7EFC82B5"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Este rubro del pasivo no circulante refleja el registro de los compromisos contraídos a largo plazo, por la adquisición de bienes de consumo e inventariables, por la contratación de servicios y por otras deudas comerciales con proveedores, indispensables para la operatividad de los Órganos Autónomos, mismos que se encuentran pendientes de liquidar.</w:t>
      </w:r>
    </w:p>
    <w:p w14:paraId="382F534A"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0A9B14BA"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También, se integra por las obligaciones contraídas con contratistas por obra pública en bienes de dominio público.</w:t>
      </w:r>
    </w:p>
    <w:p w14:paraId="7A76EB0C"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3F243680"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 xml:space="preserve">El saldo de este rubro al 31 de marzo de 2024 ascendió a $ 1,308,057 pesos, y representan el 0.1 </w:t>
      </w:r>
      <w:proofErr w:type="gramStart"/>
      <w:r w:rsidRPr="00367B2D">
        <w:rPr>
          <w:rFonts w:eastAsia="Times New Roman" w:cs="Arial"/>
          <w:iCs/>
          <w:szCs w:val="20"/>
          <w:lang w:val="es-ES" w:eastAsia="es-ES"/>
        </w:rPr>
        <w:t>%  del</w:t>
      </w:r>
      <w:proofErr w:type="gramEnd"/>
      <w:r w:rsidRPr="00367B2D">
        <w:rPr>
          <w:rFonts w:eastAsia="Times New Roman" w:cs="Arial"/>
          <w:iCs/>
          <w:szCs w:val="20"/>
          <w:lang w:val="es-ES" w:eastAsia="es-ES"/>
        </w:rPr>
        <w:t xml:space="preserve"> pasivo no circulante.</w:t>
      </w:r>
    </w:p>
    <w:p w14:paraId="6B4BB22D"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51FF54D8"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drawing>
          <wp:inline distT="0" distB="0" distL="0" distR="0" wp14:anchorId="529FF93B" wp14:editId="616BD0C6">
            <wp:extent cx="3729600" cy="1123915"/>
            <wp:effectExtent l="0" t="0" r="4445" b="635"/>
            <wp:docPr id="335020239" name="Imagen 33502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29600" cy="1123915"/>
                    </a:xfrm>
                    <a:prstGeom prst="rect">
                      <a:avLst/>
                    </a:prstGeom>
                    <a:noFill/>
                    <a:ln>
                      <a:noFill/>
                    </a:ln>
                  </pic:spPr>
                </pic:pic>
              </a:graphicData>
            </a:graphic>
          </wp:inline>
        </w:drawing>
      </w:r>
    </w:p>
    <w:p w14:paraId="4B66BCE8" w14:textId="77777777" w:rsidR="00367B2D" w:rsidRPr="00367B2D" w:rsidRDefault="00367B2D" w:rsidP="00367B2D">
      <w:pPr>
        <w:autoSpaceDE w:val="0"/>
        <w:autoSpaceDN w:val="0"/>
        <w:adjustRightInd w:val="0"/>
        <w:jc w:val="both"/>
        <w:rPr>
          <w:rFonts w:eastAsia="Times New Roman" w:cs="Arial"/>
          <w:b/>
          <w:bCs/>
          <w:i/>
          <w:szCs w:val="20"/>
          <w:lang w:val="es-ES" w:eastAsia="es-ES"/>
        </w:rPr>
      </w:pPr>
    </w:p>
    <w:p w14:paraId="3F69F356" w14:textId="77777777" w:rsidR="00367B2D" w:rsidRPr="00367B2D" w:rsidRDefault="00367B2D" w:rsidP="00367B2D">
      <w:pPr>
        <w:autoSpaceDE w:val="0"/>
        <w:autoSpaceDN w:val="0"/>
        <w:adjustRightInd w:val="0"/>
        <w:jc w:val="both"/>
        <w:rPr>
          <w:rFonts w:eastAsia="Times New Roman" w:cs="Arial"/>
          <w:b/>
          <w:bCs/>
          <w:i/>
          <w:iCs/>
          <w:szCs w:val="20"/>
          <w:lang w:val="es-ES" w:eastAsia="es-ES"/>
        </w:rPr>
      </w:pPr>
    </w:p>
    <w:p w14:paraId="5EA90906"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r w:rsidRPr="00367B2D">
        <w:rPr>
          <w:rFonts w:eastAsia="Times New Roman" w:cs="Arial"/>
          <w:b/>
          <w:bCs/>
          <w:i/>
          <w:iCs/>
          <w:szCs w:val="20"/>
          <w:u w:val="single"/>
          <w:lang w:val="es-ES" w:eastAsia="es-ES"/>
        </w:rPr>
        <w:t>Pasivos diferidos a largo plazo</w:t>
      </w:r>
    </w:p>
    <w:p w14:paraId="15CC22C5" w14:textId="77777777" w:rsidR="00367B2D" w:rsidRPr="00367B2D" w:rsidRDefault="00367B2D" w:rsidP="00367B2D">
      <w:pPr>
        <w:jc w:val="both"/>
        <w:outlineLvl w:val="0"/>
        <w:rPr>
          <w:rFonts w:eastAsia="Times New Roman" w:cs="Arial"/>
          <w:iCs/>
          <w:szCs w:val="20"/>
          <w:lang w:val="es-ES" w:eastAsia="es-ES"/>
        </w:rPr>
      </w:pPr>
    </w:p>
    <w:p w14:paraId="535E8F25"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Este rubro del pasivo no circulante se integra por el registro de prestaciones salariales del personal de los órganos autónomos como son: sueldos y salarios, y aguinaldo devengado no pagado a la fecha que se informa, así como, las aportaciones patronales al IMSS.</w:t>
      </w:r>
    </w:p>
    <w:p w14:paraId="6DA66564"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238C9D33" w14:textId="77777777" w:rsidR="00367B2D" w:rsidRPr="00367B2D" w:rsidRDefault="00367B2D" w:rsidP="00367B2D">
      <w:pPr>
        <w:jc w:val="both"/>
        <w:outlineLvl w:val="0"/>
        <w:rPr>
          <w:rFonts w:eastAsia="Times New Roman" w:cs="Arial"/>
          <w:iCs/>
          <w:szCs w:val="20"/>
          <w:lang w:val="es-ES" w:eastAsia="es-ES"/>
        </w:rPr>
      </w:pPr>
      <w:r w:rsidRPr="00367B2D">
        <w:rPr>
          <w:rFonts w:eastAsia="Times New Roman" w:cs="Arial"/>
          <w:iCs/>
          <w:szCs w:val="20"/>
          <w:lang w:val="es-ES" w:eastAsia="es-ES"/>
        </w:rPr>
        <w:t>También, forman parte los recursos de ayudas sociales para personas, los subsidios a entes públicos, la actualización y los recargos, y los remanentes de recursos.</w:t>
      </w:r>
    </w:p>
    <w:p w14:paraId="64776858" w14:textId="77777777" w:rsidR="00367B2D" w:rsidRPr="00367B2D" w:rsidRDefault="00367B2D" w:rsidP="00367B2D">
      <w:pPr>
        <w:jc w:val="both"/>
        <w:outlineLvl w:val="0"/>
        <w:rPr>
          <w:rFonts w:eastAsia="Times New Roman" w:cs="Arial"/>
          <w:iCs/>
          <w:szCs w:val="20"/>
          <w:lang w:val="es-ES" w:eastAsia="es-ES"/>
        </w:rPr>
      </w:pPr>
    </w:p>
    <w:p w14:paraId="53EAE85C"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Se incluyen en este rubro, el registro de las retenciones por servicios personales: ISSS, cuota IMSS, crédito INFONAVIT, crédito FOVISSSTE, crédito FONACOT, cuota SAR, cuota FPSSTSP, cuota ISSSTE, 2 % del Impuesto Sobre Nóminas, recuperación de préstamos personales, pensión alimenticia, disciplinarios, préstamos con instituciones financieras; además, de las retenciones y contribuciones a favor de terceros, IVA por pagar, así como, el ISR por honorarios y/o arrendamiento de inmuebles.</w:t>
      </w:r>
    </w:p>
    <w:p w14:paraId="75E0FCF1" w14:textId="77777777" w:rsidR="00367B2D" w:rsidRPr="00367B2D" w:rsidRDefault="00367B2D" w:rsidP="00367B2D">
      <w:pPr>
        <w:jc w:val="both"/>
        <w:rPr>
          <w:rFonts w:eastAsia="Times New Roman" w:cs="Arial"/>
          <w:iCs/>
          <w:szCs w:val="20"/>
          <w:lang w:val="es-ES" w:eastAsia="es-ES"/>
        </w:rPr>
      </w:pPr>
    </w:p>
    <w:p w14:paraId="53549C7D" w14:textId="77777777" w:rsidR="00367B2D" w:rsidRPr="00367B2D" w:rsidRDefault="00367B2D" w:rsidP="00367B2D">
      <w:pPr>
        <w:jc w:val="both"/>
        <w:outlineLvl w:val="0"/>
        <w:rPr>
          <w:rFonts w:eastAsia="Times New Roman" w:cs="Arial"/>
          <w:iCs/>
          <w:szCs w:val="20"/>
          <w:lang w:val="es-ES" w:eastAsia="es-ES"/>
        </w:rPr>
      </w:pPr>
      <w:r w:rsidRPr="00367B2D">
        <w:rPr>
          <w:rFonts w:eastAsia="Times New Roman" w:cs="Arial"/>
          <w:iCs/>
          <w:szCs w:val="20"/>
          <w:lang w:val="es-ES" w:eastAsia="es-ES"/>
        </w:rPr>
        <w:t>Asimismo, por las retenciones efectuadas a los contratistas por obra pública, por los siguientes conceptos:</w:t>
      </w:r>
    </w:p>
    <w:p w14:paraId="700459D3" w14:textId="77777777" w:rsidR="00367B2D" w:rsidRPr="00367B2D" w:rsidRDefault="00367B2D" w:rsidP="00367B2D">
      <w:pPr>
        <w:jc w:val="both"/>
        <w:outlineLvl w:val="0"/>
        <w:rPr>
          <w:rFonts w:eastAsia="Times New Roman" w:cs="Arial"/>
          <w:iCs/>
          <w:szCs w:val="20"/>
          <w:lang w:val="es-ES" w:eastAsia="es-ES"/>
        </w:rPr>
      </w:pPr>
    </w:p>
    <w:p w14:paraId="71F6DB80" w14:textId="77777777" w:rsidR="00367B2D" w:rsidRPr="00367B2D" w:rsidRDefault="00367B2D" w:rsidP="00367B2D">
      <w:pPr>
        <w:numPr>
          <w:ilvl w:val="0"/>
          <w:numId w:val="39"/>
        </w:numPr>
        <w:spacing w:after="120"/>
        <w:ind w:left="357" w:hanging="357"/>
        <w:jc w:val="both"/>
        <w:outlineLvl w:val="0"/>
        <w:rPr>
          <w:rFonts w:eastAsia="Times New Roman" w:cs="Arial"/>
          <w:iCs/>
          <w:szCs w:val="20"/>
          <w:lang w:val="es-ES" w:eastAsia="es-ES"/>
        </w:rPr>
      </w:pPr>
      <w:r w:rsidRPr="00367B2D">
        <w:rPr>
          <w:rFonts w:eastAsia="Times New Roman" w:cs="Arial"/>
          <w:iCs/>
          <w:szCs w:val="20"/>
          <w:lang w:val="es-ES" w:eastAsia="es-ES"/>
        </w:rPr>
        <w:t>1 % de aportación al Estado para obras de beneficio social, y</w:t>
      </w:r>
    </w:p>
    <w:p w14:paraId="264FB46A" w14:textId="77777777" w:rsidR="00367B2D" w:rsidRPr="00367B2D" w:rsidRDefault="00367B2D" w:rsidP="00367B2D">
      <w:pPr>
        <w:numPr>
          <w:ilvl w:val="0"/>
          <w:numId w:val="39"/>
        </w:numPr>
        <w:spacing w:after="120"/>
        <w:ind w:left="357" w:hanging="357"/>
        <w:jc w:val="both"/>
        <w:outlineLvl w:val="0"/>
        <w:rPr>
          <w:rFonts w:eastAsia="Times New Roman" w:cs="Arial"/>
          <w:iCs/>
          <w:szCs w:val="20"/>
          <w:lang w:val="es-ES" w:eastAsia="es-ES"/>
        </w:rPr>
      </w:pPr>
      <w:r w:rsidRPr="00367B2D">
        <w:rPr>
          <w:rFonts w:eastAsia="Times New Roman" w:cs="Arial"/>
          <w:iCs/>
          <w:szCs w:val="20"/>
          <w:lang w:val="es-ES" w:eastAsia="es-ES"/>
        </w:rPr>
        <w:lastRenderedPageBreak/>
        <w:t xml:space="preserve">5 al millar de inspección y vigilancia. </w:t>
      </w:r>
    </w:p>
    <w:p w14:paraId="5AC9042C" w14:textId="77777777" w:rsidR="00367B2D" w:rsidRPr="00367B2D" w:rsidRDefault="00367B2D" w:rsidP="00367B2D">
      <w:pPr>
        <w:jc w:val="both"/>
        <w:outlineLvl w:val="0"/>
        <w:rPr>
          <w:rFonts w:eastAsia="Times New Roman" w:cs="Arial"/>
          <w:iCs/>
          <w:szCs w:val="20"/>
          <w:lang w:val="es-ES" w:eastAsia="es-ES"/>
        </w:rPr>
      </w:pPr>
    </w:p>
    <w:p w14:paraId="6CB1F8A1" w14:textId="77777777" w:rsidR="00367B2D" w:rsidRPr="00367B2D" w:rsidRDefault="00367B2D" w:rsidP="00367B2D">
      <w:pPr>
        <w:jc w:val="both"/>
        <w:outlineLvl w:val="0"/>
        <w:rPr>
          <w:rFonts w:eastAsia="Times New Roman" w:cs="Arial"/>
          <w:iCs/>
          <w:szCs w:val="20"/>
          <w:lang w:val="es-ES" w:eastAsia="es-ES"/>
        </w:rPr>
      </w:pPr>
      <w:r w:rsidRPr="00367B2D">
        <w:rPr>
          <w:rFonts w:eastAsia="Times New Roman" w:cs="Arial"/>
          <w:iCs/>
          <w:szCs w:val="20"/>
          <w:lang w:val="es-ES" w:eastAsia="es-ES"/>
        </w:rPr>
        <w:t xml:space="preserve">Por otra </w:t>
      </w:r>
      <w:proofErr w:type="gramStart"/>
      <w:r w:rsidRPr="00367B2D">
        <w:rPr>
          <w:rFonts w:eastAsia="Times New Roman" w:cs="Arial"/>
          <w:iCs/>
          <w:szCs w:val="20"/>
          <w:lang w:val="es-ES" w:eastAsia="es-ES"/>
        </w:rPr>
        <w:t>parte</w:t>
      </w:r>
      <w:proofErr w:type="gramEnd"/>
      <w:r w:rsidRPr="00367B2D">
        <w:rPr>
          <w:rFonts w:eastAsia="Times New Roman" w:cs="Arial"/>
          <w:iCs/>
          <w:szCs w:val="20"/>
          <w:lang w:val="es-ES" w:eastAsia="es-ES"/>
        </w:rPr>
        <w:t xml:space="preserve"> dentro de este rubro se encuentra los préstamos del fondo auxiliar, los recursos de entes extintos, los rendimientos bancarios, el subsidio al empleo, las aportaciones a fideicomisos, los anticipos de ministraciones y los abonos bancarios por aclarar.</w:t>
      </w:r>
    </w:p>
    <w:p w14:paraId="029C20DE" w14:textId="77777777" w:rsidR="00367B2D" w:rsidRPr="00367B2D" w:rsidRDefault="00367B2D" w:rsidP="00367B2D">
      <w:pPr>
        <w:jc w:val="both"/>
        <w:outlineLvl w:val="0"/>
        <w:rPr>
          <w:rFonts w:eastAsia="Times New Roman" w:cs="Arial"/>
          <w:iCs/>
          <w:szCs w:val="20"/>
          <w:lang w:val="es-ES" w:eastAsia="es-ES"/>
        </w:rPr>
      </w:pPr>
    </w:p>
    <w:p w14:paraId="3AA5992C" w14:textId="77777777" w:rsidR="00367B2D" w:rsidRPr="00367B2D" w:rsidRDefault="00367B2D" w:rsidP="00367B2D">
      <w:pPr>
        <w:jc w:val="both"/>
        <w:outlineLvl w:val="0"/>
        <w:rPr>
          <w:rFonts w:eastAsia="Times New Roman" w:cs="Arial"/>
          <w:iCs/>
          <w:szCs w:val="20"/>
          <w:lang w:val="es-ES" w:eastAsia="es-ES"/>
        </w:rPr>
      </w:pPr>
      <w:r w:rsidRPr="00367B2D">
        <w:rPr>
          <w:rFonts w:eastAsia="Times New Roman" w:cs="Arial"/>
          <w:iCs/>
          <w:szCs w:val="20"/>
          <w:lang w:val="es-ES" w:eastAsia="es-ES"/>
        </w:rPr>
        <w:t>El saldo de este rubro al 31 de marzo de 2024, ascendió a $ 1,335,298,446 pesos, y representa el 99.7 % del total del pasivo no circulante.</w:t>
      </w:r>
    </w:p>
    <w:p w14:paraId="7DF2137C" w14:textId="77777777" w:rsidR="00367B2D" w:rsidRPr="00367B2D" w:rsidRDefault="00367B2D" w:rsidP="00367B2D">
      <w:pPr>
        <w:jc w:val="both"/>
        <w:outlineLvl w:val="0"/>
        <w:rPr>
          <w:rFonts w:eastAsia="Times New Roman" w:cs="Arial"/>
          <w:iCs/>
          <w:szCs w:val="20"/>
          <w:lang w:val="es-ES" w:eastAsia="es-ES"/>
        </w:rPr>
      </w:pPr>
    </w:p>
    <w:p w14:paraId="4AE27F79" w14:textId="77777777" w:rsidR="00367B2D" w:rsidRPr="00367B2D" w:rsidRDefault="00367B2D" w:rsidP="00367B2D">
      <w:pPr>
        <w:jc w:val="center"/>
        <w:outlineLvl w:val="0"/>
        <w:rPr>
          <w:rFonts w:eastAsia="Times New Roman" w:cs="Arial"/>
          <w:iCs/>
          <w:szCs w:val="20"/>
          <w:lang w:val="es-ES" w:eastAsia="es-ES"/>
        </w:rPr>
      </w:pPr>
      <w:r w:rsidRPr="00367B2D">
        <w:rPr>
          <w:rFonts w:ascii="Calibri" w:eastAsia="Calibri" w:hAnsi="Calibri" w:cs="Times New Roman"/>
          <w:noProof/>
          <w:sz w:val="22"/>
          <w:lang w:eastAsia="es-MX"/>
        </w:rPr>
        <w:drawing>
          <wp:inline distT="0" distB="0" distL="0" distR="0" wp14:anchorId="6CD0700A" wp14:editId="314E08AD">
            <wp:extent cx="3729600" cy="842936"/>
            <wp:effectExtent l="0" t="0" r="444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29600" cy="842936"/>
                    </a:xfrm>
                    <a:prstGeom prst="rect">
                      <a:avLst/>
                    </a:prstGeom>
                    <a:noFill/>
                    <a:ln>
                      <a:noFill/>
                    </a:ln>
                  </pic:spPr>
                </pic:pic>
              </a:graphicData>
            </a:graphic>
          </wp:inline>
        </w:drawing>
      </w:r>
    </w:p>
    <w:p w14:paraId="6E410F82" w14:textId="77777777" w:rsidR="00367B2D" w:rsidRPr="00367B2D" w:rsidRDefault="00367B2D" w:rsidP="00367B2D">
      <w:pPr>
        <w:jc w:val="both"/>
        <w:outlineLvl w:val="0"/>
        <w:rPr>
          <w:rFonts w:eastAsia="Times New Roman" w:cs="Arial"/>
          <w:b/>
          <w:i/>
          <w:iCs/>
          <w:szCs w:val="20"/>
          <w:lang w:val="es-ES" w:eastAsia="es-ES"/>
        </w:rPr>
      </w:pPr>
    </w:p>
    <w:p w14:paraId="2EDC0BF6" w14:textId="77777777" w:rsidR="00367B2D" w:rsidRPr="00367B2D" w:rsidRDefault="00367B2D" w:rsidP="00367B2D">
      <w:pPr>
        <w:jc w:val="both"/>
        <w:outlineLvl w:val="0"/>
        <w:rPr>
          <w:rFonts w:eastAsia="Times New Roman" w:cs="Arial"/>
          <w:b/>
          <w:i/>
          <w:iCs/>
          <w:szCs w:val="20"/>
          <w:lang w:val="es-ES" w:eastAsia="es-ES"/>
        </w:rPr>
      </w:pPr>
    </w:p>
    <w:p w14:paraId="4AC3BBC0"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r w:rsidRPr="00367B2D">
        <w:rPr>
          <w:rFonts w:eastAsia="Times New Roman" w:cs="Arial"/>
          <w:b/>
          <w:bCs/>
          <w:i/>
          <w:iCs/>
          <w:szCs w:val="20"/>
          <w:u w:val="single"/>
          <w:lang w:val="es-ES" w:eastAsia="es-ES"/>
        </w:rPr>
        <w:t>Fondos y bienes de terceros en garantía y/o administración a largo plazo</w:t>
      </w:r>
    </w:p>
    <w:p w14:paraId="5206975B" w14:textId="77777777" w:rsidR="00367B2D" w:rsidRPr="00367B2D" w:rsidRDefault="00367B2D" w:rsidP="00367B2D">
      <w:pPr>
        <w:jc w:val="both"/>
        <w:outlineLvl w:val="0"/>
        <w:rPr>
          <w:rFonts w:eastAsia="Times New Roman" w:cs="Arial"/>
          <w:b/>
          <w:i/>
          <w:iCs/>
          <w:szCs w:val="20"/>
          <w:lang w:val="es-ES" w:eastAsia="es-ES"/>
        </w:rPr>
      </w:pPr>
    </w:p>
    <w:p w14:paraId="61E95965" w14:textId="77777777" w:rsidR="00367B2D" w:rsidRPr="00367B2D" w:rsidRDefault="00367B2D" w:rsidP="00367B2D">
      <w:pPr>
        <w:jc w:val="both"/>
        <w:outlineLvl w:val="0"/>
        <w:rPr>
          <w:rFonts w:eastAsia="Times New Roman" w:cs="Arial"/>
          <w:iCs/>
          <w:szCs w:val="20"/>
          <w:lang w:val="es-ES" w:eastAsia="es-ES"/>
        </w:rPr>
      </w:pPr>
      <w:r w:rsidRPr="00367B2D">
        <w:rPr>
          <w:rFonts w:eastAsia="Times New Roman" w:cs="Arial"/>
          <w:iCs/>
          <w:szCs w:val="20"/>
          <w:lang w:val="es-ES" w:eastAsia="es-ES"/>
        </w:rPr>
        <w:t>Este rubro al 31 de marzo de 2024, refleja un saldo de $ 22,719 pesos y representa las Obligaciones con Recursos Ajenos del Instituto de Elecciones y Participación Ciudadana con el Instituto Nacional de Pueblos Indígenas (INPI).</w:t>
      </w:r>
    </w:p>
    <w:p w14:paraId="501761A4" w14:textId="77777777" w:rsidR="00367B2D" w:rsidRPr="00367B2D" w:rsidRDefault="00367B2D" w:rsidP="00367B2D">
      <w:pPr>
        <w:jc w:val="both"/>
        <w:outlineLvl w:val="0"/>
        <w:rPr>
          <w:rFonts w:eastAsia="Times New Roman" w:cs="Arial"/>
          <w:b/>
          <w:i/>
          <w:iCs/>
          <w:szCs w:val="20"/>
          <w:lang w:val="es-ES" w:eastAsia="es-ES"/>
        </w:rPr>
      </w:pPr>
    </w:p>
    <w:p w14:paraId="2C09A446"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drawing>
          <wp:inline distT="0" distB="0" distL="0" distR="0" wp14:anchorId="73AF4F98" wp14:editId="2C0FB00B">
            <wp:extent cx="3729600" cy="1060573"/>
            <wp:effectExtent l="0" t="0" r="4445"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29600" cy="1060573"/>
                    </a:xfrm>
                    <a:prstGeom prst="rect">
                      <a:avLst/>
                    </a:prstGeom>
                    <a:noFill/>
                    <a:ln>
                      <a:noFill/>
                    </a:ln>
                  </pic:spPr>
                </pic:pic>
              </a:graphicData>
            </a:graphic>
          </wp:inline>
        </w:drawing>
      </w:r>
    </w:p>
    <w:p w14:paraId="08EFE727" w14:textId="25949804" w:rsidR="00367B2D" w:rsidRDefault="00367B2D" w:rsidP="00367B2D">
      <w:pPr>
        <w:autoSpaceDE w:val="0"/>
        <w:autoSpaceDN w:val="0"/>
        <w:adjustRightInd w:val="0"/>
        <w:jc w:val="both"/>
        <w:rPr>
          <w:rFonts w:eastAsia="Times New Roman" w:cs="Arial"/>
          <w:iCs/>
          <w:szCs w:val="20"/>
          <w:lang w:val="es-ES" w:eastAsia="es-ES"/>
        </w:rPr>
      </w:pPr>
    </w:p>
    <w:p w14:paraId="50989929"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76836ED9" w14:textId="77777777" w:rsidR="00367B2D" w:rsidRPr="00367B2D" w:rsidRDefault="00367B2D" w:rsidP="00367B2D">
      <w:pPr>
        <w:autoSpaceDE w:val="0"/>
        <w:autoSpaceDN w:val="0"/>
        <w:adjustRightInd w:val="0"/>
        <w:jc w:val="both"/>
        <w:rPr>
          <w:rFonts w:eastAsia="Times New Roman" w:cs="Arial"/>
          <w:b/>
          <w:bCs/>
          <w:i/>
          <w:iCs/>
          <w:szCs w:val="20"/>
          <w:u w:val="single"/>
          <w:lang w:val="es-ES" w:eastAsia="es-ES"/>
        </w:rPr>
      </w:pPr>
      <w:r w:rsidRPr="00367B2D">
        <w:rPr>
          <w:rFonts w:eastAsia="Times New Roman" w:cs="Arial"/>
          <w:b/>
          <w:bCs/>
          <w:i/>
          <w:iCs/>
          <w:szCs w:val="20"/>
          <w:u w:val="single"/>
          <w:lang w:val="es-ES" w:eastAsia="es-ES"/>
        </w:rPr>
        <w:t xml:space="preserve">Provisiones a largo plazo </w:t>
      </w:r>
    </w:p>
    <w:p w14:paraId="2B407711" w14:textId="77777777" w:rsidR="00367B2D" w:rsidRPr="00367B2D" w:rsidRDefault="00367B2D" w:rsidP="00367B2D">
      <w:pPr>
        <w:autoSpaceDE w:val="0"/>
        <w:autoSpaceDN w:val="0"/>
        <w:adjustRightInd w:val="0"/>
        <w:jc w:val="both"/>
        <w:rPr>
          <w:rFonts w:eastAsia="Times New Roman" w:cs="Arial"/>
          <w:b/>
          <w:bCs/>
          <w:i/>
          <w:szCs w:val="20"/>
          <w:lang w:val="es-ES" w:eastAsia="es-ES"/>
        </w:rPr>
      </w:pPr>
    </w:p>
    <w:p w14:paraId="632480F2"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Al 31 de marzo de 2024, este rubro refleja la cantidad de $ 3,194,567 pesos y se integra por la provisión para demandas y juicios, pensiones, y contingencias a largo plazo, para hacer frente a casos fortuitos que resulten de la operatividad de los Órganos Autónomos. Este rubro representa el 0.2 % del total del pasivo no circulante.</w:t>
      </w:r>
    </w:p>
    <w:p w14:paraId="0A739F7B"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10B9E3D0"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drawing>
          <wp:inline distT="0" distB="0" distL="0" distR="0" wp14:anchorId="7809054A" wp14:editId="3AD8ADE9">
            <wp:extent cx="3729600" cy="1397856"/>
            <wp:effectExtent l="0" t="0" r="444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29600" cy="1397856"/>
                    </a:xfrm>
                    <a:prstGeom prst="rect">
                      <a:avLst/>
                    </a:prstGeom>
                    <a:noFill/>
                    <a:ln>
                      <a:noFill/>
                    </a:ln>
                  </pic:spPr>
                </pic:pic>
              </a:graphicData>
            </a:graphic>
          </wp:inline>
        </w:drawing>
      </w:r>
    </w:p>
    <w:p w14:paraId="466569E5" w14:textId="77777777" w:rsidR="00367B2D" w:rsidRPr="00367B2D" w:rsidRDefault="00367B2D" w:rsidP="00367B2D">
      <w:pPr>
        <w:jc w:val="both"/>
        <w:rPr>
          <w:rFonts w:eastAsia="Calibri" w:cs="Arial"/>
          <w:b/>
          <w:bCs/>
          <w:noProof/>
          <w:szCs w:val="20"/>
          <w:lang w:val="es-ES" w:eastAsia="es-MX"/>
        </w:rPr>
      </w:pPr>
    </w:p>
    <w:p w14:paraId="3B9C4D09" w14:textId="77777777" w:rsidR="00367B2D" w:rsidRPr="00367B2D" w:rsidRDefault="00367B2D" w:rsidP="00367B2D">
      <w:pPr>
        <w:jc w:val="both"/>
        <w:rPr>
          <w:rFonts w:eastAsia="Calibri" w:cs="Arial"/>
          <w:b/>
          <w:bCs/>
          <w:noProof/>
          <w:szCs w:val="20"/>
          <w:lang w:val="es-ES" w:eastAsia="es-MX"/>
        </w:rPr>
      </w:pPr>
    </w:p>
    <w:p w14:paraId="764419C0" w14:textId="77777777" w:rsidR="00367B2D" w:rsidRPr="00367B2D" w:rsidRDefault="00367B2D" w:rsidP="00367B2D">
      <w:pPr>
        <w:jc w:val="both"/>
        <w:rPr>
          <w:rFonts w:eastAsia="Calibri" w:cs="Arial"/>
          <w:b/>
          <w:bCs/>
          <w:caps/>
          <w:szCs w:val="20"/>
          <w:lang w:val="es-ES" w:eastAsia="es-ES"/>
        </w:rPr>
      </w:pPr>
      <w:r w:rsidRPr="00367B2D">
        <w:rPr>
          <w:rFonts w:eastAsia="Calibri" w:cs="Arial"/>
          <w:b/>
          <w:bCs/>
          <w:szCs w:val="20"/>
          <w:lang w:val="es-ES" w:eastAsia="es-ES"/>
        </w:rPr>
        <w:t>Notas al estado de variación en la hacienda pública</w:t>
      </w:r>
    </w:p>
    <w:p w14:paraId="2D9CBF88" w14:textId="77777777" w:rsidR="00367B2D" w:rsidRPr="00367B2D" w:rsidRDefault="00367B2D" w:rsidP="00367B2D">
      <w:pPr>
        <w:jc w:val="both"/>
        <w:outlineLvl w:val="0"/>
        <w:rPr>
          <w:rFonts w:eastAsia="Calibri" w:cs="Times New Roman"/>
        </w:rPr>
      </w:pPr>
    </w:p>
    <w:p w14:paraId="716C83B8"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La hacienda pública representa el importe de los bienes y derechos, propiedad de los Órganos Autónomos, dicho importe es modificado principalmente por el resultado positivo obtenido al periodo que se informa el cual asciende a $ 659,721,412 pesos y representa los recursos comprometidos de gasto de inversión para la continuidad de obras en proceso, de la misma manera, es afectado por el resultado derivado del registro de operaciones de ejercicios anteriores por reintegros, depuración y regularización de saldos; a la fecha que se informa, la Hacienda Pública refleja un saldo de $ 3,937,831,489 pesos.</w:t>
      </w:r>
    </w:p>
    <w:p w14:paraId="6B061656"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6393E20B"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lastRenderedPageBreak/>
        <w:t>El aumento o disminución al patrimonio, derivado del registro de los incrementos o decrementos realizados al patrimonio, a la fecha que se informa, presenta una modificación positiva al patrimonio de $ 663,538,073 pesos.</w:t>
      </w:r>
    </w:p>
    <w:p w14:paraId="3B53A320" w14:textId="77777777" w:rsidR="00367B2D" w:rsidRPr="00367B2D" w:rsidRDefault="00367B2D" w:rsidP="00367B2D">
      <w:pPr>
        <w:jc w:val="both"/>
        <w:rPr>
          <w:rFonts w:eastAsia="Times New Roman" w:cs="Arial"/>
          <w:iCs/>
          <w:szCs w:val="20"/>
          <w:lang w:val="es-ES" w:eastAsia="es-ES"/>
        </w:rPr>
      </w:pPr>
    </w:p>
    <w:p w14:paraId="12A5E861" w14:textId="77777777"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t>Notas al estado de flujos de efectivo</w:t>
      </w:r>
    </w:p>
    <w:p w14:paraId="01D09E58" w14:textId="77777777" w:rsidR="00367B2D" w:rsidRPr="00367B2D" w:rsidRDefault="00367B2D" w:rsidP="00367B2D">
      <w:pPr>
        <w:jc w:val="both"/>
        <w:rPr>
          <w:rFonts w:eastAsia="Times New Roman" w:cs="Arial"/>
          <w:iCs/>
          <w:szCs w:val="20"/>
          <w:lang w:eastAsia="es-ES"/>
        </w:rPr>
      </w:pPr>
    </w:p>
    <w:p w14:paraId="3B5745EC" w14:textId="77777777" w:rsidR="00367B2D" w:rsidRPr="00367B2D" w:rsidRDefault="00367B2D" w:rsidP="00367B2D">
      <w:pPr>
        <w:jc w:val="both"/>
        <w:rPr>
          <w:rFonts w:eastAsia="Times New Roman" w:cs="Arial"/>
          <w:iCs/>
          <w:szCs w:val="20"/>
          <w:lang w:val="es-ES" w:eastAsia="es-ES"/>
        </w:rPr>
      </w:pPr>
      <w:r w:rsidRPr="00367B2D">
        <w:rPr>
          <w:rFonts w:eastAsia="Times New Roman" w:cs="Arial"/>
          <w:iCs/>
          <w:szCs w:val="20"/>
          <w:lang w:val="es-ES" w:eastAsia="es-ES"/>
        </w:rPr>
        <w:t>El estado de flujos de efectivo de los Órganos Autónomos, muestra los flujos de efectivo, conformado por los elementos básicos: origen y aplicación de los recursos.</w:t>
      </w:r>
    </w:p>
    <w:p w14:paraId="1E22522B" w14:textId="77777777" w:rsidR="00367B2D" w:rsidRPr="00367B2D" w:rsidRDefault="00367B2D" w:rsidP="00367B2D">
      <w:pPr>
        <w:jc w:val="both"/>
        <w:rPr>
          <w:rFonts w:eastAsia="Times New Roman" w:cs="Arial"/>
          <w:iCs/>
          <w:szCs w:val="20"/>
          <w:lang w:val="es-ES" w:eastAsia="es-ES"/>
        </w:rPr>
      </w:pPr>
    </w:p>
    <w:p w14:paraId="25B70786" w14:textId="77777777" w:rsidR="00367B2D" w:rsidRPr="00367B2D" w:rsidRDefault="00367B2D" w:rsidP="00367B2D">
      <w:pPr>
        <w:jc w:val="both"/>
        <w:rPr>
          <w:rFonts w:eastAsia="Times New Roman" w:cs="Arial"/>
          <w:iCs/>
          <w:szCs w:val="20"/>
          <w:lang w:val="es-ES" w:eastAsia="es-ES"/>
        </w:rPr>
      </w:pPr>
      <w:r w:rsidRPr="00367B2D">
        <w:rPr>
          <w:rFonts w:eastAsia="Times New Roman" w:cs="Arial"/>
          <w:iCs/>
          <w:szCs w:val="20"/>
          <w:lang w:val="es-ES" w:eastAsia="es-ES"/>
        </w:rPr>
        <w:t xml:space="preserve">El incremento neto en el efectivo y equivalentes al efectivo al 31 de marzo de 2024 asciende a $ 694,284,350 pesos. </w:t>
      </w:r>
    </w:p>
    <w:p w14:paraId="79A87997" w14:textId="77777777" w:rsidR="00367B2D" w:rsidRPr="00367B2D" w:rsidRDefault="00367B2D" w:rsidP="00367B2D">
      <w:pPr>
        <w:jc w:val="both"/>
        <w:rPr>
          <w:rFonts w:eastAsia="Times New Roman" w:cs="Arial"/>
          <w:iCs/>
          <w:szCs w:val="20"/>
          <w:lang w:val="es-ES" w:eastAsia="es-ES"/>
        </w:rPr>
      </w:pPr>
    </w:p>
    <w:p w14:paraId="1BCB48B1" w14:textId="77777777"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t>Flujo de efectivo de las actividades de operación</w:t>
      </w:r>
    </w:p>
    <w:p w14:paraId="60B073FC" w14:textId="77777777" w:rsidR="00367B2D" w:rsidRPr="00367B2D" w:rsidRDefault="00367B2D" w:rsidP="00367B2D">
      <w:pPr>
        <w:jc w:val="both"/>
        <w:rPr>
          <w:rFonts w:eastAsia="Times New Roman" w:cs="Arial"/>
          <w:b/>
          <w:bCs/>
          <w:iCs/>
          <w:szCs w:val="20"/>
          <w:lang w:val="es-ES" w:eastAsia="es-ES"/>
        </w:rPr>
      </w:pPr>
    </w:p>
    <w:p w14:paraId="6C5E6189" w14:textId="77777777" w:rsidR="00367B2D" w:rsidRPr="00367B2D" w:rsidRDefault="00367B2D" w:rsidP="00367B2D">
      <w:pPr>
        <w:jc w:val="both"/>
        <w:rPr>
          <w:rFonts w:eastAsia="Times New Roman" w:cs="Arial"/>
          <w:bCs/>
          <w:iCs/>
          <w:szCs w:val="20"/>
          <w:lang w:val="es-ES" w:eastAsia="es-ES"/>
        </w:rPr>
      </w:pPr>
      <w:r w:rsidRPr="00367B2D">
        <w:rPr>
          <w:rFonts w:eastAsia="Times New Roman" w:cs="Arial"/>
          <w:bCs/>
          <w:iCs/>
          <w:szCs w:val="20"/>
          <w:lang w:val="es-ES" w:eastAsia="es-ES"/>
        </w:rPr>
        <w:t xml:space="preserve">Durante el periodo que se informa, los Órganos Autónomos </w:t>
      </w:r>
      <w:r w:rsidRPr="00367B2D">
        <w:rPr>
          <w:rFonts w:eastAsia="Times New Roman" w:cs="Arial"/>
          <w:iCs/>
          <w:szCs w:val="20"/>
          <w:lang w:val="es-ES" w:eastAsia="es-ES"/>
        </w:rPr>
        <w:t>presentaron</w:t>
      </w:r>
      <w:r w:rsidRPr="00367B2D">
        <w:rPr>
          <w:rFonts w:eastAsia="Times New Roman" w:cs="Arial"/>
          <w:bCs/>
          <w:iCs/>
          <w:szCs w:val="20"/>
          <w:lang w:val="es-ES" w:eastAsia="es-ES"/>
        </w:rPr>
        <w:t xml:space="preserve"> ingresos de gestión por la cantidad de $ 1,767,405,464 pesos. El gasto de funcionamiento devengado por el periodo comprendido por el 1 de enero al 31 de marzo de 2024 asciende a $ 1,107,684,052 pesos, el cual representa un flujo neto positivo por actividades de operación por un importe de $ 659,721,412 pesos.</w:t>
      </w:r>
    </w:p>
    <w:p w14:paraId="7BD0C08C" w14:textId="77777777" w:rsidR="00367B2D" w:rsidRPr="00367B2D" w:rsidRDefault="00367B2D" w:rsidP="00367B2D">
      <w:pPr>
        <w:jc w:val="both"/>
        <w:rPr>
          <w:rFonts w:eastAsia="Times New Roman" w:cs="Arial"/>
          <w:bCs/>
          <w:iCs/>
          <w:szCs w:val="20"/>
          <w:lang w:val="es-ES" w:eastAsia="es-ES"/>
        </w:rPr>
      </w:pPr>
    </w:p>
    <w:p w14:paraId="1277BDC3" w14:textId="77777777"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t>Flujo de efectivo de las actividades de inversión</w:t>
      </w:r>
    </w:p>
    <w:p w14:paraId="16B7A1E8" w14:textId="77777777" w:rsidR="00367B2D" w:rsidRPr="00367B2D" w:rsidRDefault="00367B2D" w:rsidP="00367B2D">
      <w:pPr>
        <w:jc w:val="both"/>
        <w:rPr>
          <w:rFonts w:eastAsia="Times New Roman" w:cs="Arial"/>
          <w:b/>
          <w:bCs/>
          <w:i/>
          <w:iCs/>
          <w:szCs w:val="20"/>
          <w:lang w:val="es-ES" w:eastAsia="es-ES"/>
        </w:rPr>
      </w:pPr>
    </w:p>
    <w:p w14:paraId="1DCB0060" w14:textId="77777777" w:rsidR="00367B2D" w:rsidRPr="00367B2D" w:rsidRDefault="00367B2D" w:rsidP="00367B2D">
      <w:pPr>
        <w:jc w:val="both"/>
        <w:rPr>
          <w:rFonts w:eastAsia="Times New Roman" w:cs="Arial"/>
          <w:bCs/>
          <w:iCs/>
          <w:szCs w:val="20"/>
          <w:lang w:val="es-ES" w:eastAsia="es-ES"/>
        </w:rPr>
      </w:pPr>
      <w:r w:rsidRPr="00367B2D">
        <w:rPr>
          <w:rFonts w:eastAsia="Times New Roman" w:cs="Arial"/>
          <w:bCs/>
          <w:iCs/>
          <w:szCs w:val="20"/>
          <w:lang w:val="es-ES" w:eastAsia="es-ES"/>
        </w:rPr>
        <w:t>Durante el periodo que se informa, los Órganos Autónomos reflejaron ingresos de inversión por la cantidad de $ 147,558,282 pesos. El gasto de inversión devengado por el periodo comprendido por el 1 de enero al 31 de marzo de 2024 refleja la cifra de $ 165,103,790 pesos, el cual representa un flujo neto negativo por actividades de inversión por un importe de $ 17,545,508 pesos.</w:t>
      </w:r>
    </w:p>
    <w:p w14:paraId="0FDA141B" w14:textId="77777777" w:rsidR="00367B2D" w:rsidRPr="00367B2D" w:rsidRDefault="00367B2D" w:rsidP="00367B2D">
      <w:pPr>
        <w:jc w:val="both"/>
        <w:rPr>
          <w:rFonts w:eastAsia="Times New Roman" w:cs="Arial"/>
          <w:bCs/>
          <w:iCs/>
          <w:szCs w:val="20"/>
          <w:lang w:val="es-ES" w:eastAsia="es-ES"/>
        </w:rPr>
      </w:pPr>
    </w:p>
    <w:p w14:paraId="3C42103F" w14:textId="77777777"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t>Flujo de efectivo de las actividades de financiamiento</w:t>
      </w:r>
    </w:p>
    <w:p w14:paraId="4D7622D1" w14:textId="77777777" w:rsidR="00367B2D" w:rsidRPr="00367B2D" w:rsidRDefault="00367B2D" w:rsidP="00367B2D">
      <w:pPr>
        <w:jc w:val="both"/>
        <w:rPr>
          <w:rFonts w:eastAsia="Times New Roman" w:cs="Arial"/>
          <w:b/>
          <w:bCs/>
          <w:i/>
          <w:iCs/>
          <w:szCs w:val="20"/>
          <w:lang w:val="es-ES" w:eastAsia="es-ES"/>
        </w:rPr>
      </w:pPr>
    </w:p>
    <w:p w14:paraId="48229546" w14:textId="77777777" w:rsidR="00367B2D" w:rsidRPr="00367B2D" w:rsidRDefault="00367B2D" w:rsidP="00367B2D">
      <w:pPr>
        <w:jc w:val="both"/>
        <w:rPr>
          <w:rFonts w:eastAsia="Times New Roman" w:cs="Arial"/>
          <w:bCs/>
          <w:iCs/>
          <w:szCs w:val="20"/>
          <w:lang w:val="es-ES" w:eastAsia="es-ES"/>
        </w:rPr>
      </w:pPr>
      <w:r w:rsidRPr="00367B2D">
        <w:rPr>
          <w:rFonts w:eastAsia="Times New Roman" w:cs="Arial"/>
          <w:bCs/>
          <w:iCs/>
          <w:szCs w:val="20"/>
          <w:lang w:val="es-ES" w:eastAsia="es-ES"/>
        </w:rPr>
        <w:t>Durante el periodo que se informa, los Órganos Autónomos reflejaron ingresos por financiamiento por la cantidad de $ 179,283,303 pesos. La aplicación por actividades de financiamiento por el periodo comprendido por el 1 de enero al 31 de marzo de 2024 asciende a $ 127,174,857 pesos, el cual representa un flujo neto positivo por actividades de financiamiento por un importe de $ 52,108,446 pesos.</w:t>
      </w:r>
    </w:p>
    <w:p w14:paraId="71C5871A" w14:textId="77777777" w:rsidR="00367B2D" w:rsidRPr="00367B2D" w:rsidRDefault="00367B2D" w:rsidP="00367B2D">
      <w:pPr>
        <w:jc w:val="both"/>
        <w:rPr>
          <w:rFonts w:eastAsia="Times New Roman" w:cs="Arial"/>
          <w:iCs/>
          <w:szCs w:val="20"/>
          <w:lang w:val="es-ES" w:eastAsia="es-ES"/>
        </w:rPr>
      </w:pPr>
    </w:p>
    <w:p w14:paraId="41DCE722" w14:textId="77777777"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t>Efectivo y equivalentes al efectivo al final del ejercicio</w:t>
      </w:r>
    </w:p>
    <w:p w14:paraId="529BD266" w14:textId="77777777" w:rsidR="00367B2D" w:rsidRPr="00367B2D" w:rsidRDefault="00367B2D" w:rsidP="00367B2D">
      <w:pPr>
        <w:jc w:val="both"/>
        <w:outlineLvl w:val="0"/>
        <w:rPr>
          <w:rFonts w:eastAsia="Times New Roman" w:cs="Arial"/>
          <w:b/>
          <w:bCs/>
          <w:iCs/>
          <w:szCs w:val="20"/>
          <w:lang w:eastAsia="es-ES"/>
        </w:rPr>
      </w:pPr>
    </w:p>
    <w:p w14:paraId="3EE38519" w14:textId="77777777" w:rsidR="00367B2D" w:rsidRPr="00367B2D" w:rsidRDefault="00367B2D" w:rsidP="00367B2D">
      <w:pPr>
        <w:jc w:val="both"/>
        <w:outlineLvl w:val="0"/>
        <w:rPr>
          <w:rFonts w:eastAsia="Times New Roman" w:cs="Arial"/>
          <w:bCs/>
          <w:iCs/>
          <w:szCs w:val="20"/>
          <w:lang w:eastAsia="es-ES"/>
        </w:rPr>
      </w:pPr>
      <w:r w:rsidRPr="00367B2D">
        <w:rPr>
          <w:rFonts w:eastAsia="Times New Roman" w:cs="Arial"/>
          <w:bCs/>
          <w:iCs/>
          <w:szCs w:val="20"/>
          <w:lang w:eastAsia="es-ES"/>
        </w:rPr>
        <w:t>Las cifras del efectivo y equivalentes al efectivo, al final del ejercicio que figuran la última parte del estado de flujos de efectivo de los órganos autónomos es el siguiente:</w:t>
      </w:r>
    </w:p>
    <w:p w14:paraId="3975D517" w14:textId="77777777" w:rsidR="00367B2D" w:rsidRPr="00367B2D" w:rsidRDefault="00367B2D" w:rsidP="00367B2D">
      <w:pPr>
        <w:jc w:val="both"/>
        <w:outlineLvl w:val="0"/>
        <w:rPr>
          <w:rFonts w:eastAsia="Times New Roman" w:cs="Arial"/>
          <w:bCs/>
          <w:iCs/>
          <w:szCs w:val="20"/>
          <w:lang w:val="es-ES" w:eastAsia="es-ES"/>
        </w:rPr>
      </w:pPr>
    </w:p>
    <w:p w14:paraId="787CB85B" w14:textId="77777777" w:rsidR="00367B2D" w:rsidRPr="00367B2D" w:rsidRDefault="00367B2D" w:rsidP="00367B2D">
      <w:pPr>
        <w:jc w:val="center"/>
        <w:outlineLvl w:val="0"/>
        <w:rPr>
          <w:rFonts w:eastAsia="Times New Roman" w:cs="Arial"/>
          <w:bCs/>
          <w:iCs/>
          <w:szCs w:val="20"/>
          <w:lang w:val="es-ES" w:eastAsia="es-ES"/>
        </w:rPr>
      </w:pPr>
      <w:r w:rsidRPr="00367B2D">
        <w:rPr>
          <w:rFonts w:ascii="Calibri" w:eastAsia="Calibri" w:hAnsi="Calibri" w:cs="Times New Roman"/>
          <w:noProof/>
          <w:sz w:val="22"/>
          <w:lang w:eastAsia="es-MX"/>
        </w:rPr>
        <w:drawing>
          <wp:inline distT="0" distB="0" distL="0" distR="0" wp14:anchorId="261DA70D" wp14:editId="193B9F99">
            <wp:extent cx="3729600" cy="1035937"/>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29600" cy="1035937"/>
                    </a:xfrm>
                    <a:prstGeom prst="rect">
                      <a:avLst/>
                    </a:prstGeom>
                    <a:noFill/>
                    <a:ln>
                      <a:noFill/>
                    </a:ln>
                  </pic:spPr>
                </pic:pic>
              </a:graphicData>
            </a:graphic>
          </wp:inline>
        </w:drawing>
      </w:r>
    </w:p>
    <w:p w14:paraId="63B97591" w14:textId="77777777" w:rsidR="00367B2D" w:rsidRPr="00367B2D" w:rsidRDefault="00367B2D" w:rsidP="00367B2D">
      <w:pPr>
        <w:outlineLvl w:val="0"/>
        <w:rPr>
          <w:rFonts w:eastAsia="Times New Roman" w:cs="Arial"/>
          <w:bCs/>
          <w:iCs/>
          <w:szCs w:val="20"/>
          <w:lang w:val="es-ES" w:eastAsia="es-ES"/>
        </w:rPr>
      </w:pPr>
    </w:p>
    <w:p w14:paraId="5CE014EA" w14:textId="77777777" w:rsidR="00367B2D" w:rsidRPr="00367B2D" w:rsidRDefault="00367B2D" w:rsidP="00367B2D">
      <w:pPr>
        <w:outlineLvl w:val="0"/>
        <w:rPr>
          <w:rFonts w:eastAsia="Times New Roman" w:cs="Arial"/>
          <w:bCs/>
          <w:iCs/>
          <w:szCs w:val="20"/>
          <w:lang w:val="es-ES" w:eastAsia="es-ES"/>
        </w:rPr>
      </w:pPr>
    </w:p>
    <w:p w14:paraId="1B8F3BAA" w14:textId="77777777"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t>Efectivo y equivalentes</w:t>
      </w:r>
    </w:p>
    <w:p w14:paraId="60F09663" w14:textId="77777777" w:rsidR="00367B2D" w:rsidRPr="00367B2D" w:rsidRDefault="00367B2D" w:rsidP="00367B2D">
      <w:pPr>
        <w:jc w:val="both"/>
        <w:outlineLvl w:val="0"/>
        <w:rPr>
          <w:rFonts w:eastAsia="Times New Roman" w:cs="Arial"/>
          <w:b/>
          <w:bCs/>
          <w:iCs/>
          <w:szCs w:val="20"/>
          <w:lang w:eastAsia="es-ES"/>
        </w:rPr>
      </w:pPr>
    </w:p>
    <w:p w14:paraId="08C6458F" w14:textId="77777777" w:rsidR="00367B2D" w:rsidRPr="00367B2D" w:rsidRDefault="00367B2D" w:rsidP="00367B2D">
      <w:pPr>
        <w:jc w:val="both"/>
        <w:outlineLvl w:val="0"/>
        <w:rPr>
          <w:rFonts w:eastAsia="Times New Roman" w:cs="Arial"/>
          <w:bCs/>
          <w:iCs/>
          <w:szCs w:val="20"/>
          <w:lang w:eastAsia="es-ES"/>
        </w:rPr>
      </w:pPr>
      <w:r w:rsidRPr="00367B2D">
        <w:rPr>
          <w:rFonts w:eastAsia="Times New Roman" w:cs="Arial"/>
          <w:bCs/>
          <w:iCs/>
          <w:szCs w:val="20"/>
          <w:lang w:eastAsia="es-ES"/>
        </w:rPr>
        <w:t>El análisis de los saldos inicial y final de efectivo y equivalentes al efectivo, al final del ejercicio del estado de flujos de efectivo, respecto a la composición del rubro de efectivo y equivalentes es como sigue:</w:t>
      </w:r>
    </w:p>
    <w:p w14:paraId="39674083" w14:textId="77777777" w:rsidR="00367B2D" w:rsidRPr="00367B2D" w:rsidRDefault="00367B2D" w:rsidP="00367B2D">
      <w:pPr>
        <w:jc w:val="both"/>
        <w:outlineLvl w:val="0"/>
        <w:rPr>
          <w:rFonts w:eastAsia="Times New Roman" w:cs="Arial"/>
          <w:bCs/>
          <w:iCs/>
          <w:szCs w:val="20"/>
          <w:lang w:eastAsia="es-ES"/>
        </w:rPr>
      </w:pPr>
    </w:p>
    <w:p w14:paraId="4922B8F5" w14:textId="77777777" w:rsidR="00367B2D" w:rsidRPr="00367B2D" w:rsidRDefault="00367B2D" w:rsidP="00367B2D">
      <w:pPr>
        <w:jc w:val="center"/>
        <w:outlineLvl w:val="0"/>
        <w:rPr>
          <w:rFonts w:eastAsia="Times New Roman" w:cs="Arial"/>
          <w:bCs/>
          <w:iCs/>
          <w:szCs w:val="20"/>
          <w:lang w:eastAsia="es-ES"/>
        </w:rPr>
      </w:pPr>
      <w:r w:rsidRPr="00367B2D">
        <w:rPr>
          <w:rFonts w:ascii="Calibri" w:eastAsia="Calibri" w:hAnsi="Calibri" w:cs="Times New Roman"/>
          <w:noProof/>
          <w:sz w:val="22"/>
          <w:lang w:eastAsia="es-MX"/>
        </w:rPr>
        <w:lastRenderedPageBreak/>
        <w:drawing>
          <wp:inline distT="0" distB="0" distL="0" distR="0" wp14:anchorId="0C2143B4" wp14:editId="06AD9E1F">
            <wp:extent cx="3729600" cy="2129098"/>
            <wp:effectExtent l="0" t="0" r="444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29600" cy="2129098"/>
                    </a:xfrm>
                    <a:prstGeom prst="rect">
                      <a:avLst/>
                    </a:prstGeom>
                    <a:noFill/>
                    <a:ln>
                      <a:noFill/>
                    </a:ln>
                  </pic:spPr>
                </pic:pic>
              </a:graphicData>
            </a:graphic>
          </wp:inline>
        </w:drawing>
      </w:r>
    </w:p>
    <w:p w14:paraId="541E60E6" w14:textId="77777777" w:rsidR="00367B2D" w:rsidRPr="00367B2D" w:rsidRDefault="00367B2D" w:rsidP="00367B2D">
      <w:pPr>
        <w:jc w:val="both"/>
        <w:outlineLvl w:val="0"/>
        <w:rPr>
          <w:rFonts w:eastAsia="Times New Roman" w:cs="Arial"/>
          <w:bCs/>
          <w:iCs/>
          <w:szCs w:val="20"/>
          <w:lang w:val="es-ES" w:eastAsia="es-ES"/>
        </w:rPr>
      </w:pPr>
    </w:p>
    <w:p w14:paraId="2C7845DA" w14:textId="77777777" w:rsidR="00367B2D" w:rsidRPr="00367B2D" w:rsidRDefault="00367B2D" w:rsidP="00367B2D">
      <w:pPr>
        <w:jc w:val="both"/>
        <w:outlineLvl w:val="0"/>
        <w:rPr>
          <w:rFonts w:eastAsia="Times New Roman" w:cs="Arial"/>
          <w:bCs/>
          <w:iCs/>
          <w:szCs w:val="20"/>
          <w:lang w:val="es-ES" w:eastAsia="es-ES"/>
        </w:rPr>
      </w:pPr>
    </w:p>
    <w:p w14:paraId="1D1C7E0F" w14:textId="77777777"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t>Adquisiciones de las actividades de inversión efectivamente pagadas</w:t>
      </w:r>
    </w:p>
    <w:p w14:paraId="691CD253" w14:textId="77777777" w:rsidR="00367B2D" w:rsidRPr="00367B2D" w:rsidRDefault="00367B2D" w:rsidP="00367B2D">
      <w:pPr>
        <w:jc w:val="both"/>
        <w:outlineLvl w:val="0"/>
        <w:rPr>
          <w:rFonts w:eastAsia="Times New Roman" w:cs="Arial"/>
          <w:b/>
          <w:bCs/>
          <w:iCs/>
          <w:szCs w:val="20"/>
          <w:lang w:eastAsia="es-ES"/>
        </w:rPr>
      </w:pPr>
    </w:p>
    <w:p w14:paraId="11BDA1EE" w14:textId="77777777" w:rsidR="00367B2D" w:rsidRPr="00367B2D" w:rsidRDefault="00367B2D" w:rsidP="00367B2D">
      <w:pPr>
        <w:jc w:val="both"/>
        <w:outlineLvl w:val="0"/>
        <w:rPr>
          <w:rFonts w:eastAsia="Times New Roman" w:cs="Arial"/>
          <w:bCs/>
          <w:iCs/>
          <w:szCs w:val="20"/>
          <w:lang w:eastAsia="es-ES"/>
        </w:rPr>
      </w:pPr>
      <w:r w:rsidRPr="00367B2D">
        <w:rPr>
          <w:rFonts w:eastAsia="Times New Roman" w:cs="Arial"/>
          <w:bCs/>
          <w:iCs/>
          <w:szCs w:val="20"/>
          <w:lang w:eastAsia="es-ES"/>
        </w:rPr>
        <w:t>Al 31 de marzo de 2024, se realizaron adquisiciones de las actividades de inversión efectivamente pagadas, respecto al apartado de aplicación, mismas que a continuación se describen:</w:t>
      </w:r>
    </w:p>
    <w:p w14:paraId="32F9F0E4" w14:textId="77777777" w:rsidR="00367B2D" w:rsidRPr="00367B2D" w:rsidRDefault="00367B2D" w:rsidP="00367B2D">
      <w:pPr>
        <w:jc w:val="both"/>
        <w:outlineLvl w:val="0"/>
        <w:rPr>
          <w:rFonts w:eastAsia="Times New Roman" w:cs="Arial"/>
          <w:bCs/>
          <w:iCs/>
          <w:szCs w:val="20"/>
          <w:lang w:eastAsia="es-ES"/>
        </w:rPr>
      </w:pPr>
    </w:p>
    <w:p w14:paraId="399B34F8" w14:textId="77777777" w:rsidR="00367B2D" w:rsidRPr="00367B2D" w:rsidRDefault="00367B2D" w:rsidP="00367B2D">
      <w:pPr>
        <w:tabs>
          <w:tab w:val="left" w:pos="4530"/>
        </w:tabs>
        <w:jc w:val="center"/>
        <w:outlineLvl w:val="0"/>
        <w:rPr>
          <w:rFonts w:eastAsia="Times New Roman" w:cs="Arial"/>
          <w:bCs/>
          <w:iCs/>
          <w:szCs w:val="20"/>
          <w:lang w:eastAsia="es-ES"/>
        </w:rPr>
      </w:pPr>
      <w:r w:rsidRPr="00367B2D">
        <w:rPr>
          <w:rFonts w:ascii="Calibri" w:eastAsia="Calibri" w:hAnsi="Calibri" w:cs="Times New Roman"/>
          <w:noProof/>
          <w:sz w:val="22"/>
          <w:lang w:eastAsia="es-MX"/>
        </w:rPr>
        <w:drawing>
          <wp:inline distT="0" distB="0" distL="0" distR="0" wp14:anchorId="6F1B7D27" wp14:editId="5BA68B7C">
            <wp:extent cx="3729600" cy="4320912"/>
            <wp:effectExtent l="0" t="0" r="444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29600" cy="4320912"/>
                    </a:xfrm>
                    <a:prstGeom prst="rect">
                      <a:avLst/>
                    </a:prstGeom>
                    <a:noFill/>
                    <a:ln>
                      <a:noFill/>
                    </a:ln>
                  </pic:spPr>
                </pic:pic>
              </a:graphicData>
            </a:graphic>
          </wp:inline>
        </w:drawing>
      </w:r>
    </w:p>
    <w:p w14:paraId="124BD547" w14:textId="77777777" w:rsidR="00367B2D" w:rsidRPr="00367B2D" w:rsidRDefault="00367B2D" w:rsidP="00367B2D">
      <w:pPr>
        <w:outlineLvl w:val="0"/>
        <w:rPr>
          <w:rFonts w:eastAsia="Times New Roman" w:cs="Arial"/>
          <w:bCs/>
          <w:iCs/>
          <w:szCs w:val="20"/>
          <w:lang w:val="es-ES" w:eastAsia="es-ES"/>
        </w:rPr>
      </w:pPr>
    </w:p>
    <w:p w14:paraId="3F9D8BA5" w14:textId="77777777" w:rsidR="00367B2D" w:rsidRDefault="00367B2D">
      <w:pPr>
        <w:spacing w:after="160" w:line="259" w:lineRule="auto"/>
        <w:rPr>
          <w:rFonts w:eastAsia="Calibri" w:cs="Arial"/>
          <w:b/>
          <w:bCs/>
          <w:szCs w:val="20"/>
          <w:lang w:val="es-ES" w:eastAsia="es-ES"/>
        </w:rPr>
      </w:pPr>
      <w:r>
        <w:rPr>
          <w:rFonts w:eastAsia="Calibri" w:cs="Arial"/>
          <w:b/>
          <w:bCs/>
          <w:szCs w:val="20"/>
          <w:lang w:val="es-ES" w:eastAsia="es-ES"/>
        </w:rPr>
        <w:br w:type="page"/>
      </w:r>
    </w:p>
    <w:p w14:paraId="0241CDB4" w14:textId="1F41EFE9"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lastRenderedPageBreak/>
        <w:t>Conciliación de flujos de efectivo netos</w:t>
      </w:r>
    </w:p>
    <w:p w14:paraId="317D1BC1" w14:textId="77777777" w:rsidR="00367B2D" w:rsidRPr="00367B2D" w:rsidRDefault="00367B2D" w:rsidP="00367B2D">
      <w:pPr>
        <w:jc w:val="both"/>
        <w:outlineLvl w:val="0"/>
        <w:rPr>
          <w:rFonts w:eastAsia="Times New Roman" w:cs="Arial"/>
          <w:bCs/>
          <w:iCs/>
          <w:szCs w:val="20"/>
          <w:lang w:val="es-ES" w:eastAsia="es-ES"/>
        </w:rPr>
      </w:pPr>
    </w:p>
    <w:p w14:paraId="279E78C9" w14:textId="77777777" w:rsidR="00367B2D" w:rsidRPr="00367B2D" w:rsidRDefault="00367B2D" w:rsidP="00367B2D">
      <w:pPr>
        <w:jc w:val="center"/>
        <w:outlineLvl w:val="0"/>
        <w:rPr>
          <w:rFonts w:eastAsia="Times New Roman" w:cs="Arial"/>
          <w:bCs/>
          <w:iCs/>
          <w:szCs w:val="20"/>
          <w:lang w:val="es-ES" w:eastAsia="es-ES"/>
        </w:rPr>
      </w:pPr>
      <w:r w:rsidRPr="00367B2D">
        <w:rPr>
          <w:rFonts w:ascii="Calibri" w:eastAsia="Calibri" w:hAnsi="Calibri" w:cs="Times New Roman"/>
          <w:noProof/>
          <w:sz w:val="22"/>
          <w:lang w:eastAsia="es-MX"/>
        </w:rPr>
        <w:drawing>
          <wp:inline distT="0" distB="0" distL="0" distR="0" wp14:anchorId="055DC83B" wp14:editId="54B490FC">
            <wp:extent cx="3729600" cy="1563884"/>
            <wp:effectExtent l="0" t="0" r="444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29600" cy="1563884"/>
                    </a:xfrm>
                    <a:prstGeom prst="rect">
                      <a:avLst/>
                    </a:prstGeom>
                    <a:noFill/>
                    <a:ln>
                      <a:noFill/>
                    </a:ln>
                  </pic:spPr>
                </pic:pic>
              </a:graphicData>
            </a:graphic>
          </wp:inline>
        </w:drawing>
      </w:r>
    </w:p>
    <w:p w14:paraId="058C6DF2" w14:textId="77777777" w:rsidR="00367B2D" w:rsidRPr="00367B2D" w:rsidRDefault="00367B2D" w:rsidP="00367B2D">
      <w:pPr>
        <w:jc w:val="both"/>
        <w:outlineLvl w:val="0"/>
        <w:rPr>
          <w:rFonts w:eastAsia="Times New Roman" w:cs="Arial"/>
          <w:bCs/>
          <w:iCs/>
          <w:szCs w:val="20"/>
          <w:lang w:val="es-ES" w:eastAsia="es-ES"/>
        </w:rPr>
      </w:pPr>
    </w:p>
    <w:p w14:paraId="776295DB" w14:textId="77777777"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t>Conciliación entre los ingresos presupuestarios y contables, así como entre los egresos presupuestarios y los gastos contables</w:t>
      </w:r>
    </w:p>
    <w:p w14:paraId="1C1BF490" w14:textId="77777777" w:rsidR="00367B2D" w:rsidRPr="00367B2D" w:rsidRDefault="00367B2D" w:rsidP="00367B2D">
      <w:pPr>
        <w:jc w:val="both"/>
        <w:outlineLvl w:val="0"/>
        <w:rPr>
          <w:rFonts w:eastAsia="Times New Roman" w:cs="Arial"/>
          <w:b/>
          <w:bCs/>
          <w:iCs/>
          <w:szCs w:val="20"/>
          <w:lang w:eastAsia="es-ES"/>
        </w:rPr>
      </w:pPr>
    </w:p>
    <w:p w14:paraId="7781F17B" w14:textId="77777777" w:rsidR="00367B2D" w:rsidRPr="00367B2D" w:rsidRDefault="00367B2D" w:rsidP="00367B2D">
      <w:pPr>
        <w:jc w:val="both"/>
        <w:outlineLvl w:val="0"/>
        <w:rPr>
          <w:rFonts w:eastAsia="Times New Roman" w:cs="Arial"/>
          <w:bCs/>
          <w:iCs/>
          <w:szCs w:val="20"/>
          <w:lang w:eastAsia="es-ES"/>
        </w:rPr>
      </w:pPr>
      <w:r w:rsidRPr="00367B2D">
        <w:rPr>
          <w:rFonts w:eastAsia="Times New Roman" w:cs="Arial"/>
          <w:bCs/>
          <w:iCs/>
          <w:szCs w:val="20"/>
          <w:lang w:eastAsia="es-E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 los Órganos Autónomos, correspondiente del 1 de enero al 31 de marzo de 2024.</w:t>
      </w:r>
    </w:p>
    <w:p w14:paraId="4F19EC3A" w14:textId="77777777" w:rsidR="00367B2D" w:rsidRPr="00367B2D" w:rsidRDefault="00367B2D" w:rsidP="00367B2D">
      <w:pPr>
        <w:jc w:val="both"/>
        <w:outlineLvl w:val="0"/>
        <w:rPr>
          <w:rFonts w:eastAsia="Times New Roman" w:cs="Arial"/>
          <w:bCs/>
          <w:iCs/>
          <w:szCs w:val="20"/>
          <w:lang w:eastAsia="es-ES"/>
        </w:rPr>
      </w:pPr>
    </w:p>
    <w:p w14:paraId="30884051" w14:textId="77777777" w:rsidR="00367B2D" w:rsidRPr="00367B2D" w:rsidRDefault="00367B2D" w:rsidP="00367B2D">
      <w:pPr>
        <w:jc w:val="center"/>
        <w:outlineLvl w:val="0"/>
        <w:rPr>
          <w:rFonts w:eastAsia="Times New Roman" w:cs="Arial"/>
          <w:iCs/>
          <w:noProof/>
          <w:szCs w:val="20"/>
          <w:lang w:val="es-ES" w:eastAsia="es-MX"/>
        </w:rPr>
      </w:pPr>
      <w:r w:rsidRPr="00367B2D">
        <w:rPr>
          <w:rFonts w:ascii="Calibri" w:eastAsia="Calibri" w:hAnsi="Calibri" w:cs="Times New Roman"/>
          <w:noProof/>
          <w:sz w:val="22"/>
          <w:lang w:eastAsia="es-MX"/>
        </w:rPr>
        <w:drawing>
          <wp:inline distT="0" distB="0" distL="0" distR="0" wp14:anchorId="511EF6ED" wp14:editId="2BF3C3E1">
            <wp:extent cx="6331585" cy="3543583"/>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31585" cy="3543583"/>
                    </a:xfrm>
                    <a:prstGeom prst="rect">
                      <a:avLst/>
                    </a:prstGeom>
                    <a:noFill/>
                    <a:ln>
                      <a:noFill/>
                    </a:ln>
                  </pic:spPr>
                </pic:pic>
              </a:graphicData>
            </a:graphic>
          </wp:inline>
        </w:drawing>
      </w:r>
    </w:p>
    <w:p w14:paraId="761835B2" w14:textId="77777777" w:rsidR="00367B2D" w:rsidRPr="00367B2D" w:rsidRDefault="00367B2D" w:rsidP="00367B2D">
      <w:pPr>
        <w:jc w:val="both"/>
        <w:outlineLvl w:val="0"/>
        <w:rPr>
          <w:rFonts w:eastAsia="Times New Roman" w:cs="Arial"/>
          <w:iCs/>
          <w:szCs w:val="20"/>
          <w:lang w:val="es-ES" w:eastAsia="es-ES"/>
        </w:rPr>
      </w:pPr>
    </w:p>
    <w:p w14:paraId="19D0D871" w14:textId="77777777" w:rsidR="00367B2D" w:rsidRPr="00367B2D" w:rsidRDefault="00367B2D" w:rsidP="00367B2D">
      <w:pPr>
        <w:jc w:val="center"/>
        <w:outlineLvl w:val="0"/>
        <w:rPr>
          <w:rFonts w:eastAsia="Times New Roman" w:cs="Arial"/>
          <w:iCs/>
          <w:noProof/>
          <w:szCs w:val="20"/>
          <w:lang w:val="es-ES" w:eastAsia="es-MX"/>
        </w:rPr>
      </w:pPr>
      <w:r w:rsidRPr="00367B2D">
        <w:rPr>
          <w:rFonts w:ascii="Calibri" w:eastAsia="Calibri" w:hAnsi="Calibri" w:cs="Times New Roman"/>
          <w:noProof/>
          <w:sz w:val="22"/>
          <w:lang w:eastAsia="es-MX"/>
        </w:rPr>
        <w:lastRenderedPageBreak/>
        <w:drawing>
          <wp:inline distT="0" distB="0" distL="0" distR="0" wp14:anchorId="41AE6A27" wp14:editId="5B2B24B8">
            <wp:extent cx="6331585" cy="5878978"/>
            <wp:effectExtent l="0" t="0" r="0" b="0"/>
            <wp:docPr id="335020240" name="Imagen 33502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1585" cy="5878978"/>
                    </a:xfrm>
                    <a:prstGeom prst="rect">
                      <a:avLst/>
                    </a:prstGeom>
                    <a:noFill/>
                    <a:ln>
                      <a:noFill/>
                    </a:ln>
                  </pic:spPr>
                </pic:pic>
              </a:graphicData>
            </a:graphic>
          </wp:inline>
        </w:drawing>
      </w:r>
    </w:p>
    <w:p w14:paraId="7C0C1461"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7676C951"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461620D6" w14:textId="77777777" w:rsidR="00367B2D" w:rsidRPr="00367B2D" w:rsidRDefault="00367B2D" w:rsidP="00367B2D">
      <w:pPr>
        <w:keepNext/>
        <w:keepLines/>
        <w:jc w:val="both"/>
        <w:outlineLvl w:val="1"/>
        <w:rPr>
          <w:rFonts w:eastAsia="Times New Roman" w:cs="Arial"/>
          <w:b/>
          <w:sz w:val="24"/>
          <w:szCs w:val="24"/>
          <w:lang w:eastAsia="es-MX"/>
        </w:rPr>
      </w:pPr>
      <w:r w:rsidRPr="00367B2D">
        <w:rPr>
          <w:rFonts w:eastAsia="Times New Roman" w:cs="Arial"/>
          <w:b/>
          <w:sz w:val="24"/>
          <w:szCs w:val="24"/>
          <w:lang w:eastAsia="es-MX"/>
        </w:rPr>
        <w:t>Notas de memoria (cuentas de orden)</w:t>
      </w:r>
    </w:p>
    <w:p w14:paraId="59F687AF" w14:textId="77777777" w:rsidR="00367B2D" w:rsidRPr="00367B2D" w:rsidRDefault="00367B2D" w:rsidP="00367B2D">
      <w:pPr>
        <w:jc w:val="both"/>
        <w:outlineLvl w:val="0"/>
        <w:rPr>
          <w:rFonts w:eastAsia="Calibri" w:cs="Times New Roman"/>
          <w:b/>
          <w:bCs/>
        </w:rPr>
      </w:pPr>
    </w:p>
    <w:p w14:paraId="61C02B86"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 xml:space="preserve">Representan los movimientos de valores que no afecten o modifiquen el balance de los Órganos Autónomos, sin embargo, su incorporación en libros es necesaria con fines de recordatorio contable, de control y en general sobre los aspectos administrativos, o bien, para consignar sus derechos o responsabilidades contingentes que puedan, o no, presentarse en el futuro. </w:t>
      </w:r>
    </w:p>
    <w:p w14:paraId="2452A38D"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115912F8" w14:textId="77777777" w:rsidR="00367B2D" w:rsidRPr="00367B2D" w:rsidRDefault="00367B2D" w:rsidP="00367B2D">
      <w:pPr>
        <w:jc w:val="both"/>
        <w:rPr>
          <w:rFonts w:eastAsia="Calibri" w:cs="Arial"/>
          <w:b/>
          <w:bCs/>
          <w:caps/>
          <w:szCs w:val="20"/>
          <w:lang w:val="es-ES" w:eastAsia="es-ES"/>
        </w:rPr>
      </w:pPr>
      <w:r w:rsidRPr="00367B2D">
        <w:rPr>
          <w:rFonts w:eastAsia="Calibri" w:cs="Arial"/>
          <w:b/>
          <w:bCs/>
          <w:szCs w:val="20"/>
          <w:lang w:val="es-ES" w:eastAsia="es-ES"/>
        </w:rPr>
        <w:t>Cuentas de orden contables</w:t>
      </w:r>
    </w:p>
    <w:p w14:paraId="21397728" w14:textId="77777777" w:rsidR="00367B2D" w:rsidRPr="00367B2D" w:rsidRDefault="00367B2D" w:rsidP="00367B2D">
      <w:pPr>
        <w:jc w:val="both"/>
        <w:outlineLvl w:val="0"/>
        <w:rPr>
          <w:rFonts w:eastAsia="Calibri" w:cs="Times New Roman"/>
          <w:b/>
          <w:bCs/>
          <w:i/>
          <w:iCs/>
        </w:rPr>
      </w:pPr>
    </w:p>
    <w:p w14:paraId="349D02D0" w14:textId="77777777"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t xml:space="preserve">Valores </w:t>
      </w:r>
    </w:p>
    <w:p w14:paraId="0681B1C5" w14:textId="77777777" w:rsidR="00367B2D" w:rsidRPr="00367B2D" w:rsidRDefault="00367B2D" w:rsidP="00367B2D">
      <w:pPr>
        <w:autoSpaceDE w:val="0"/>
        <w:autoSpaceDN w:val="0"/>
        <w:adjustRightInd w:val="0"/>
        <w:jc w:val="both"/>
        <w:rPr>
          <w:rFonts w:eastAsia="Times New Roman" w:cs="Arial"/>
          <w:b/>
          <w:i/>
          <w:iCs/>
          <w:szCs w:val="20"/>
          <w:lang w:val="es-ES" w:eastAsia="es-ES"/>
        </w:rPr>
      </w:pPr>
    </w:p>
    <w:p w14:paraId="388D7BA1"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Los valores, corresponden al Fondo para el Desarrollo y Mejora de la Procuración de Justicia de los Órganos Autónomos, que tiene como objetivo llevar un registro detallado, minucioso y exacto de los ingresos transitorios y definitivos que por cualquier naturaleza se efectúen, así como un sistema de control riguroso de los rescates que se realicen, el cual asciende a $ 40,002,653 pesos.</w:t>
      </w:r>
    </w:p>
    <w:p w14:paraId="26CC97A5" w14:textId="77777777" w:rsidR="00367B2D" w:rsidRPr="00367B2D" w:rsidRDefault="00367B2D" w:rsidP="00367B2D">
      <w:pPr>
        <w:autoSpaceDE w:val="0"/>
        <w:autoSpaceDN w:val="0"/>
        <w:adjustRightInd w:val="0"/>
        <w:jc w:val="center"/>
        <w:rPr>
          <w:rFonts w:eastAsia="Times New Roman" w:cs="Arial"/>
          <w:b/>
          <w:i/>
          <w:iCs/>
          <w:szCs w:val="20"/>
          <w:lang w:val="es-ES" w:eastAsia="es-ES"/>
        </w:rPr>
      </w:pPr>
      <w:r w:rsidRPr="00367B2D">
        <w:rPr>
          <w:rFonts w:ascii="Calibri" w:eastAsia="Calibri" w:hAnsi="Calibri" w:cs="Times New Roman"/>
          <w:noProof/>
          <w:sz w:val="22"/>
          <w:lang w:eastAsia="es-MX"/>
        </w:rPr>
        <w:lastRenderedPageBreak/>
        <w:drawing>
          <wp:inline distT="0" distB="0" distL="0" distR="0" wp14:anchorId="212C9CC8" wp14:editId="47877AC0">
            <wp:extent cx="6331585" cy="1504992"/>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1585" cy="1504992"/>
                    </a:xfrm>
                    <a:prstGeom prst="rect">
                      <a:avLst/>
                    </a:prstGeom>
                    <a:noFill/>
                    <a:ln>
                      <a:noFill/>
                    </a:ln>
                  </pic:spPr>
                </pic:pic>
              </a:graphicData>
            </a:graphic>
          </wp:inline>
        </w:drawing>
      </w:r>
    </w:p>
    <w:p w14:paraId="11E26BB6" w14:textId="77777777" w:rsidR="00367B2D" w:rsidRPr="00367B2D" w:rsidRDefault="00367B2D" w:rsidP="00367B2D">
      <w:pPr>
        <w:autoSpaceDE w:val="0"/>
        <w:autoSpaceDN w:val="0"/>
        <w:adjustRightInd w:val="0"/>
        <w:jc w:val="both"/>
        <w:rPr>
          <w:rFonts w:eastAsia="Times New Roman" w:cs="Arial"/>
          <w:b/>
          <w:i/>
          <w:iCs/>
          <w:szCs w:val="20"/>
          <w:lang w:val="es-ES" w:eastAsia="es-ES"/>
        </w:rPr>
      </w:pPr>
    </w:p>
    <w:p w14:paraId="364AE5A2" w14:textId="77777777" w:rsidR="00367B2D" w:rsidRPr="00367B2D" w:rsidRDefault="00367B2D" w:rsidP="00367B2D">
      <w:pPr>
        <w:autoSpaceDE w:val="0"/>
        <w:autoSpaceDN w:val="0"/>
        <w:adjustRightInd w:val="0"/>
        <w:jc w:val="both"/>
        <w:rPr>
          <w:rFonts w:eastAsia="Times New Roman" w:cs="Arial"/>
          <w:b/>
          <w:i/>
          <w:iCs/>
          <w:szCs w:val="20"/>
          <w:lang w:val="es-ES" w:eastAsia="es-ES"/>
        </w:rPr>
      </w:pPr>
    </w:p>
    <w:p w14:paraId="72583A63" w14:textId="77777777"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t>Emisión de obligaciones</w:t>
      </w:r>
    </w:p>
    <w:p w14:paraId="3DC4CD32" w14:textId="77777777" w:rsidR="00367B2D" w:rsidRPr="00367B2D" w:rsidRDefault="00367B2D" w:rsidP="00367B2D">
      <w:pPr>
        <w:autoSpaceDE w:val="0"/>
        <w:autoSpaceDN w:val="0"/>
        <w:adjustRightInd w:val="0"/>
        <w:jc w:val="both"/>
        <w:rPr>
          <w:rFonts w:eastAsia="Times New Roman" w:cs="Arial"/>
          <w:b/>
          <w:i/>
          <w:iCs/>
          <w:szCs w:val="20"/>
          <w:lang w:val="es-ES" w:eastAsia="es-ES"/>
        </w:rPr>
      </w:pPr>
    </w:p>
    <w:p w14:paraId="4200B9ED"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Este rubro representa el valor nominal de la deuda contraída mediante contratos de préstamos y otras obligaciones de la deuda pública interna y externa de la Universidad Autónoma de Chiapas, reflejando una cifra de $ 236,157,454 pesos.</w:t>
      </w:r>
    </w:p>
    <w:p w14:paraId="30E98CDE"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0ACDFD57" w14:textId="77777777" w:rsidR="00367B2D" w:rsidRPr="00367B2D" w:rsidRDefault="00367B2D" w:rsidP="00367B2D">
      <w:pPr>
        <w:tabs>
          <w:tab w:val="left" w:pos="5944"/>
        </w:tabs>
        <w:autoSpaceDE w:val="0"/>
        <w:autoSpaceDN w:val="0"/>
        <w:adjustRightInd w:val="0"/>
        <w:jc w:val="center"/>
        <w:rPr>
          <w:rFonts w:eastAsia="Calibri" w:cs="Times New Roman"/>
          <w:noProof/>
          <w:lang w:eastAsia="es-MX"/>
        </w:rPr>
      </w:pPr>
      <w:r w:rsidRPr="00367B2D">
        <w:rPr>
          <w:rFonts w:ascii="Calibri" w:eastAsia="Calibri" w:hAnsi="Calibri" w:cs="Times New Roman"/>
          <w:noProof/>
          <w:sz w:val="22"/>
          <w:lang w:eastAsia="es-MX"/>
        </w:rPr>
        <w:drawing>
          <wp:inline distT="0" distB="0" distL="0" distR="0" wp14:anchorId="337CE647" wp14:editId="599AF30E">
            <wp:extent cx="6331585" cy="2244218"/>
            <wp:effectExtent l="0" t="0" r="0" b="0"/>
            <wp:docPr id="335020224" name="Imagen 33502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1585" cy="2244218"/>
                    </a:xfrm>
                    <a:prstGeom prst="rect">
                      <a:avLst/>
                    </a:prstGeom>
                    <a:noFill/>
                    <a:ln>
                      <a:noFill/>
                    </a:ln>
                  </pic:spPr>
                </pic:pic>
              </a:graphicData>
            </a:graphic>
          </wp:inline>
        </w:drawing>
      </w:r>
    </w:p>
    <w:p w14:paraId="1B7C9A2C" w14:textId="77777777" w:rsidR="00367B2D" w:rsidRPr="00367B2D" w:rsidRDefault="00367B2D" w:rsidP="00367B2D">
      <w:pPr>
        <w:tabs>
          <w:tab w:val="left" w:pos="5944"/>
        </w:tabs>
        <w:autoSpaceDE w:val="0"/>
        <w:autoSpaceDN w:val="0"/>
        <w:adjustRightInd w:val="0"/>
        <w:jc w:val="both"/>
        <w:rPr>
          <w:rFonts w:eastAsia="Times New Roman" w:cs="Arial"/>
          <w:b/>
          <w:i/>
          <w:iCs/>
          <w:szCs w:val="20"/>
          <w:lang w:val="es-ES" w:eastAsia="es-ES"/>
        </w:rPr>
      </w:pPr>
    </w:p>
    <w:p w14:paraId="163339DE" w14:textId="77777777" w:rsidR="00367B2D" w:rsidRPr="00367B2D" w:rsidRDefault="00367B2D" w:rsidP="00367B2D">
      <w:pPr>
        <w:tabs>
          <w:tab w:val="left" w:pos="5944"/>
        </w:tabs>
        <w:autoSpaceDE w:val="0"/>
        <w:autoSpaceDN w:val="0"/>
        <w:adjustRightInd w:val="0"/>
        <w:jc w:val="both"/>
        <w:rPr>
          <w:rFonts w:eastAsia="Times New Roman" w:cs="Arial"/>
          <w:b/>
          <w:i/>
          <w:iCs/>
          <w:szCs w:val="20"/>
          <w:lang w:val="es-ES" w:eastAsia="es-ES"/>
        </w:rPr>
      </w:pPr>
    </w:p>
    <w:p w14:paraId="463FAFBF" w14:textId="77777777"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t>Juicios</w:t>
      </w:r>
    </w:p>
    <w:p w14:paraId="144611C6" w14:textId="77777777" w:rsidR="00367B2D" w:rsidRPr="00367B2D" w:rsidRDefault="00367B2D" w:rsidP="00367B2D">
      <w:pPr>
        <w:autoSpaceDE w:val="0"/>
        <w:autoSpaceDN w:val="0"/>
        <w:adjustRightInd w:val="0"/>
        <w:jc w:val="both"/>
        <w:rPr>
          <w:rFonts w:eastAsia="Times New Roman" w:cs="Arial"/>
          <w:b/>
          <w:i/>
          <w:iCs/>
          <w:szCs w:val="20"/>
          <w:lang w:val="es-ES" w:eastAsia="es-ES"/>
        </w:rPr>
      </w:pPr>
    </w:p>
    <w:p w14:paraId="5F24952C" w14:textId="77777777" w:rsidR="00367B2D" w:rsidRPr="00367B2D" w:rsidRDefault="00367B2D" w:rsidP="00367B2D">
      <w:pPr>
        <w:autoSpaceDE w:val="0"/>
        <w:autoSpaceDN w:val="0"/>
        <w:adjustRightInd w:val="0"/>
        <w:jc w:val="both"/>
        <w:rPr>
          <w:rFonts w:eastAsia="Times New Roman" w:cs="Arial"/>
          <w:bCs/>
          <w:szCs w:val="20"/>
          <w:lang w:val="es-ES" w:eastAsia="es-ES"/>
        </w:rPr>
      </w:pPr>
      <w:r w:rsidRPr="00367B2D">
        <w:rPr>
          <w:rFonts w:eastAsia="Times New Roman" w:cs="Arial"/>
          <w:bCs/>
          <w:iCs/>
          <w:szCs w:val="20"/>
          <w:lang w:val="es-ES" w:eastAsia="es-ES"/>
        </w:rPr>
        <w:t>Los juicios presentan la cifra de $ 11,175,907 pesos y están integrados por litigios judiciales que pueden derivar una obligación de pago por parte de la Universidad Autónoma de Chiapas.</w:t>
      </w:r>
    </w:p>
    <w:p w14:paraId="197B9453" w14:textId="77777777" w:rsidR="00367B2D" w:rsidRPr="00367B2D" w:rsidRDefault="00367B2D" w:rsidP="00367B2D">
      <w:pPr>
        <w:autoSpaceDE w:val="0"/>
        <w:autoSpaceDN w:val="0"/>
        <w:adjustRightInd w:val="0"/>
        <w:jc w:val="both"/>
        <w:rPr>
          <w:rFonts w:eastAsia="Times New Roman" w:cs="Arial"/>
          <w:b/>
          <w:i/>
          <w:iCs/>
          <w:szCs w:val="20"/>
          <w:lang w:val="es-ES" w:eastAsia="es-ES"/>
        </w:rPr>
      </w:pPr>
    </w:p>
    <w:p w14:paraId="34F5F7BD" w14:textId="77777777" w:rsidR="00367B2D" w:rsidRPr="00367B2D" w:rsidRDefault="00367B2D" w:rsidP="00367B2D">
      <w:pPr>
        <w:autoSpaceDE w:val="0"/>
        <w:autoSpaceDN w:val="0"/>
        <w:adjustRightInd w:val="0"/>
        <w:jc w:val="center"/>
        <w:rPr>
          <w:rFonts w:eastAsia="Times New Roman" w:cs="Arial"/>
          <w:b/>
          <w:i/>
          <w:iCs/>
          <w:szCs w:val="20"/>
          <w:lang w:val="es-ES" w:eastAsia="es-ES"/>
        </w:rPr>
      </w:pPr>
      <w:r w:rsidRPr="00367B2D">
        <w:rPr>
          <w:rFonts w:ascii="Calibri" w:eastAsia="Calibri" w:hAnsi="Calibri" w:cs="Times New Roman"/>
          <w:noProof/>
          <w:sz w:val="22"/>
          <w:lang w:eastAsia="es-MX"/>
        </w:rPr>
        <w:drawing>
          <wp:inline distT="0" distB="0" distL="0" distR="0" wp14:anchorId="286B41F2" wp14:editId="35CD9CEF">
            <wp:extent cx="6331585" cy="1664241"/>
            <wp:effectExtent l="0" t="0" r="0" b="0"/>
            <wp:docPr id="335020225" name="Imagen 33502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1585" cy="1664241"/>
                    </a:xfrm>
                    <a:prstGeom prst="rect">
                      <a:avLst/>
                    </a:prstGeom>
                    <a:noFill/>
                    <a:ln>
                      <a:noFill/>
                    </a:ln>
                  </pic:spPr>
                </pic:pic>
              </a:graphicData>
            </a:graphic>
          </wp:inline>
        </w:drawing>
      </w:r>
    </w:p>
    <w:p w14:paraId="5B2DE15B" w14:textId="77777777" w:rsidR="00367B2D" w:rsidRPr="00367B2D" w:rsidRDefault="00367B2D" w:rsidP="00367B2D">
      <w:pPr>
        <w:autoSpaceDE w:val="0"/>
        <w:autoSpaceDN w:val="0"/>
        <w:adjustRightInd w:val="0"/>
        <w:jc w:val="both"/>
        <w:rPr>
          <w:rFonts w:eastAsia="Times New Roman" w:cs="Arial"/>
          <w:b/>
          <w:i/>
          <w:iCs/>
          <w:szCs w:val="20"/>
          <w:lang w:val="es-ES" w:eastAsia="es-ES"/>
        </w:rPr>
      </w:pPr>
    </w:p>
    <w:p w14:paraId="0A2B35C8" w14:textId="77777777" w:rsidR="00367B2D" w:rsidRPr="00367B2D" w:rsidRDefault="00367B2D" w:rsidP="00367B2D">
      <w:pPr>
        <w:autoSpaceDE w:val="0"/>
        <w:autoSpaceDN w:val="0"/>
        <w:adjustRightInd w:val="0"/>
        <w:jc w:val="both"/>
        <w:rPr>
          <w:rFonts w:eastAsia="Times New Roman" w:cs="Arial"/>
          <w:b/>
          <w:i/>
          <w:iCs/>
          <w:szCs w:val="20"/>
          <w:lang w:val="es-ES" w:eastAsia="es-ES"/>
        </w:rPr>
      </w:pPr>
    </w:p>
    <w:p w14:paraId="38411715" w14:textId="77777777"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t xml:space="preserve">Bienes en concesionados o en comodato </w:t>
      </w:r>
    </w:p>
    <w:p w14:paraId="341F4736" w14:textId="77777777" w:rsidR="00367B2D" w:rsidRPr="00367B2D" w:rsidRDefault="00367B2D" w:rsidP="00367B2D">
      <w:pPr>
        <w:autoSpaceDE w:val="0"/>
        <w:autoSpaceDN w:val="0"/>
        <w:adjustRightInd w:val="0"/>
        <w:jc w:val="both"/>
        <w:rPr>
          <w:rFonts w:eastAsia="Times New Roman" w:cs="Arial"/>
          <w:b/>
          <w:i/>
          <w:iCs/>
          <w:szCs w:val="20"/>
          <w:lang w:val="es-ES" w:eastAsia="es-ES"/>
        </w:rPr>
      </w:pPr>
    </w:p>
    <w:p w14:paraId="2EFBC081"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Los bienes en concesionados o en comodato representan los bienes muebles otorgados para su uso y resguardo de la Fiscalía General del Estado, por un saldo de $ 20,565,959 pesos.</w:t>
      </w:r>
    </w:p>
    <w:p w14:paraId="0B14DF32"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3AC33BD5"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lastRenderedPageBreak/>
        <w:drawing>
          <wp:inline distT="0" distB="0" distL="0" distR="0" wp14:anchorId="2C0A4342" wp14:editId="20C30AED">
            <wp:extent cx="6331585" cy="1683409"/>
            <wp:effectExtent l="0" t="0" r="0" b="0"/>
            <wp:docPr id="335020226" name="Imagen 33502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1585" cy="1683409"/>
                    </a:xfrm>
                    <a:prstGeom prst="rect">
                      <a:avLst/>
                    </a:prstGeom>
                    <a:noFill/>
                    <a:ln>
                      <a:noFill/>
                    </a:ln>
                  </pic:spPr>
                </pic:pic>
              </a:graphicData>
            </a:graphic>
          </wp:inline>
        </w:drawing>
      </w:r>
    </w:p>
    <w:p w14:paraId="6EDB3CD5" w14:textId="77777777" w:rsidR="00367B2D" w:rsidRPr="00367B2D" w:rsidRDefault="00367B2D" w:rsidP="00367B2D">
      <w:pPr>
        <w:jc w:val="both"/>
        <w:rPr>
          <w:rFonts w:eastAsia="Times New Roman" w:cs="Arial"/>
          <w:b/>
          <w:bCs/>
          <w:iCs/>
          <w:caps/>
          <w:szCs w:val="20"/>
          <w:lang w:val="es-ES" w:eastAsia="es-ES"/>
        </w:rPr>
      </w:pPr>
    </w:p>
    <w:p w14:paraId="6BB9AB24" w14:textId="77777777" w:rsidR="00367B2D" w:rsidRPr="00367B2D" w:rsidRDefault="00367B2D" w:rsidP="00367B2D">
      <w:pPr>
        <w:jc w:val="both"/>
        <w:rPr>
          <w:rFonts w:eastAsia="Times New Roman" w:cs="Arial"/>
          <w:b/>
          <w:bCs/>
          <w:iCs/>
          <w:caps/>
          <w:szCs w:val="20"/>
          <w:lang w:val="es-ES" w:eastAsia="es-ES"/>
        </w:rPr>
      </w:pPr>
    </w:p>
    <w:p w14:paraId="4CE77658" w14:textId="77777777"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t>Cuentas de orden presupuestario</w:t>
      </w:r>
    </w:p>
    <w:p w14:paraId="66B3E7F5" w14:textId="77777777" w:rsidR="00367B2D" w:rsidRPr="00367B2D" w:rsidRDefault="00367B2D" w:rsidP="00367B2D">
      <w:pPr>
        <w:jc w:val="both"/>
        <w:rPr>
          <w:rFonts w:eastAsia="Calibri" w:cs="Times New Roman"/>
          <w:b/>
          <w:bCs/>
          <w:caps/>
        </w:rPr>
      </w:pPr>
    </w:p>
    <w:p w14:paraId="1ED6819D" w14:textId="77777777"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t>Cuentas de ingresos</w:t>
      </w:r>
    </w:p>
    <w:p w14:paraId="2637352F" w14:textId="77777777" w:rsidR="00367B2D" w:rsidRPr="00367B2D" w:rsidRDefault="00367B2D" w:rsidP="00367B2D">
      <w:pPr>
        <w:autoSpaceDE w:val="0"/>
        <w:autoSpaceDN w:val="0"/>
        <w:adjustRightInd w:val="0"/>
        <w:jc w:val="both"/>
        <w:rPr>
          <w:rFonts w:eastAsia="Calibri" w:cs="Times New Roman"/>
          <w:b/>
          <w:i/>
        </w:rPr>
      </w:pPr>
    </w:p>
    <w:p w14:paraId="2F001B0D"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Al inicio del ejercicio 2024, se aprobó un presupuesto de ingresos de $ 4,918,418,708 pesos, sin embargo, las estrategias implementadas reflejaron un incremento de $ 144,898,948 pesos al presupuesto estimado para el periodo que se informa.</w:t>
      </w:r>
    </w:p>
    <w:p w14:paraId="321A866F" w14:textId="77777777" w:rsidR="00367B2D" w:rsidRPr="00367B2D" w:rsidRDefault="00367B2D" w:rsidP="00367B2D">
      <w:pPr>
        <w:autoSpaceDE w:val="0"/>
        <w:autoSpaceDN w:val="0"/>
        <w:adjustRightInd w:val="0"/>
        <w:jc w:val="center"/>
        <w:rPr>
          <w:rFonts w:eastAsia="Times New Roman" w:cs="Arial"/>
          <w:iCs/>
          <w:szCs w:val="20"/>
          <w:lang w:val="es-ES" w:eastAsia="es-ES"/>
        </w:rPr>
      </w:pPr>
    </w:p>
    <w:p w14:paraId="3EA41974"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 xml:space="preserve">Los ingresos recaudados durante el periodo del 1 de enero al 31 de marzo del 2024, ascendieron a la cantidad de $ 1,727,601,362 pesos, representado un avance del 35.1 %, respecto al programado para el periodo que se informa. </w:t>
      </w:r>
    </w:p>
    <w:p w14:paraId="38715BC5"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6FDA6C3B" w14:textId="77777777" w:rsidR="00367B2D" w:rsidRPr="00367B2D" w:rsidRDefault="00367B2D" w:rsidP="00367B2D">
      <w:pPr>
        <w:jc w:val="both"/>
        <w:outlineLvl w:val="0"/>
        <w:rPr>
          <w:rFonts w:eastAsia="Times New Roman" w:cs="Arial"/>
          <w:iCs/>
          <w:szCs w:val="20"/>
          <w:lang w:val="es-ES" w:eastAsia="es-ES"/>
        </w:rPr>
      </w:pPr>
      <w:r w:rsidRPr="00367B2D">
        <w:rPr>
          <w:rFonts w:eastAsia="Times New Roman" w:cs="Arial"/>
          <w:iCs/>
          <w:szCs w:val="20"/>
          <w:lang w:val="es-ES" w:eastAsia="es-ES"/>
        </w:rPr>
        <w:t xml:space="preserve">Los ingresos derivados de recursos provenientes del Gobierno Federal representaron el 96.6 % del total de los ingresos recaudados, con un importe de $ 1,669,561,348 pesos, integrándose de $ 1,215,307,448 pesos por concepto de transferencias, asignaciones, subsidios y subvenciones, y pensiones y jubilaciones, y de $ 454,253,900 pesos por participaciones, aportaciones, convenios, incentivos derivados de la colaboración fiscal y fondos distintos de aportaciones. </w:t>
      </w:r>
    </w:p>
    <w:p w14:paraId="29770135"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557605C6"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A continuación, se presenta el estado analítico de ingresos presupuestarios de acuerdo con la clasificación indicada en las notas de memoria de los Estados Financieros emitidos por el CONAC.</w:t>
      </w:r>
    </w:p>
    <w:p w14:paraId="2BC86DA0" w14:textId="77777777" w:rsidR="00367B2D" w:rsidRPr="00367B2D" w:rsidRDefault="00367B2D" w:rsidP="00367B2D">
      <w:pPr>
        <w:jc w:val="both"/>
        <w:rPr>
          <w:rFonts w:eastAsia="Times New Roman" w:cs="Arial"/>
          <w:iCs/>
          <w:szCs w:val="20"/>
          <w:lang w:val="es-ES" w:eastAsia="es-ES"/>
        </w:rPr>
      </w:pPr>
    </w:p>
    <w:p w14:paraId="43224DCB" w14:textId="77777777" w:rsidR="00367B2D" w:rsidRPr="00367B2D" w:rsidRDefault="00367B2D" w:rsidP="00367B2D">
      <w:pPr>
        <w:autoSpaceDE w:val="0"/>
        <w:autoSpaceDN w:val="0"/>
        <w:adjustRightInd w:val="0"/>
        <w:jc w:val="center"/>
        <w:rPr>
          <w:rFonts w:eastAsia="Times New Roman" w:cs="Arial"/>
          <w:iCs/>
          <w:noProof/>
          <w:szCs w:val="20"/>
          <w:lang w:val="es-ES" w:eastAsia="es-MX"/>
        </w:rPr>
      </w:pPr>
      <w:r w:rsidRPr="00367B2D">
        <w:rPr>
          <w:rFonts w:ascii="Calibri" w:eastAsia="Calibri" w:hAnsi="Calibri" w:cs="Times New Roman"/>
          <w:noProof/>
          <w:sz w:val="22"/>
          <w:lang w:eastAsia="es-MX"/>
        </w:rPr>
        <w:drawing>
          <wp:inline distT="0" distB="0" distL="0" distR="0" wp14:anchorId="7586F8AA" wp14:editId="55FE9867">
            <wp:extent cx="6331585" cy="2563024"/>
            <wp:effectExtent l="0" t="0" r="0" b="8890"/>
            <wp:docPr id="335020227" name="Imagen 33502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1585" cy="2563024"/>
                    </a:xfrm>
                    <a:prstGeom prst="rect">
                      <a:avLst/>
                    </a:prstGeom>
                    <a:noFill/>
                    <a:ln>
                      <a:noFill/>
                    </a:ln>
                  </pic:spPr>
                </pic:pic>
              </a:graphicData>
            </a:graphic>
          </wp:inline>
        </w:drawing>
      </w:r>
    </w:p>
    <w:p w14:paraId="160F4734" w14:textId="77777777" w:rsidR="00367B2D" w:rsidRPr="00367B2D" w:rsidRDefault="00367B2D" w:rsidP="00367B2D">
      <w:pPr>
        <w:autoSpaceDE w:val="0"/>
        <w:autoSpaceDN w:val="0"/>
        <w:adjustRightInd w:val="0"/>
        <w:jc w:val="center"/>
        <w:rPr>
          <w:rFonts w:eastAsia="Times New Roman" w:cs="Arial"/>
          <w:iCs/>
          <w:noProof/>
          <w:szCs w:val="20"/>
          <w:lang w:val="es-ES" w:eastAsia="es-MX"/>
        </w:rPr>
      </w:pPr>
    </w:p>
    <w:p w14:paraId="632B634A" w14:textId="77777777" w:rsidR="00367B2D" w:rsidRPr="00367B2D" w:rsidRDefault="00367B2D" w:rsidP="00367B2D">
      <w:pPr>
        <w:autoSpaceDE w:val="0"/>
        <w:autoSpaceDN w:val="0"/>
        <w:adjustRightInd w:val="0"/>
        <w:jc w:val="center"/>
        <w:rPr>
          <w:rFonts w:eastAsia="Times New Roman" w:cs="Arial"/>
          <w:iCs/>
          <w:noProof/>
          <w:szCs w:val="20"/>
          <w:lang w:val="es-ES" w:eastAsia="es-MX"/>
        </w:rPr>
      </w:pPr>
    </w:p>
    <w:p w14:paraId="128D0014" w14:textId="77777777" w:rsidR="00367B2D" w:rsidRPr="00367B2D" w:rsidRDefault="00367B2D" w:rsidP="00367B2D">
      <w:pPr>
        <w:jc w:val="both"/>
        <w:rPr>
          <w:rFonts w:eastAsia="Calibri" w:cs="Arial"/>
          <w:b/>
          <w:bCs/>
          <w:szCs w:val="20"/>
          <w:lang w:val="es-ES" w:eastAsia="es-ES"/>
        </w:rPr>
      </w:pPr>
      <w:r w:rsidRPr="00367B2D">
        <w:rPr>
          <w:rFonts w:eastAsia="Calibri" w:cs="Arial"/>
          <w:b/>
          <w:bCs/>
          <w:szCs w:val="20"/>
          <w:lang w:val="es-ES" w:eastAsia="es-ES"/>
        </w:rPr>
        <w:t>Cuentas de egresos</w:t>
      </w:r>
    </w:p>
    <w:p w14:paraId="4648ABD9"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6CF58097" w14:textId="77777777" w:rsidR="00367B2D" w:rsidRPr="00367B2D" w:rsidRDefault="00367B2D" w:rsidP="00367B2D">
      <w:pPr>
        <w:autoSpaceDE w:val="0"/>
        <w:autoSpaceDN w:val="0"/>
        <w:adjustRightInd w:val="0"/>
        <w:jc w:val="both"/>
        <w:rPr>
          <w:rFonts w:eastAsia="Times New Roman" w:cs="Arial"/>
          <w:iCs/>
          <w:szCs w:val="20"/>
          <w:lang w:val="es-ES" w:eastAsia="es-ES"/>
        </w:rPr>
      </w:pPr>
      <w:r w:rsidRPr="00367B2D">
        <w:rPr>
          <w:rFonts w:eastAsia="Times New Roman" w:cs="Arial"/>
          <w:iCs/>
          <w:szCs w:val="20"/>
          <w:lang w:val="es-ES" w:eastAsia="es-ES"/>
        </w:rPr>
        <w:t>El estado del ejercicio del presupuesto de egresos de los Órganos Autónomos del estado de Chiapas, refleja al</w:t>
      </w:r>
      <w:r w:rsidRPr="00367B2D">
        <w:rPr>
          <w:rFonts w:eastAsia="Times New Roman" w:cs="Arial"/>
          <w:iCs/>
          <w:color w:val="FF0000"/>
          <w:szCs w:val="20"/>
          <w:lang w:val="es-ES" w:eastAsia="es-ES"/>
        </w:rPr>
        <w:t xml:space="preserve"> </w:t>
      </w:r>
      <w:r w:rsidRPr="00367B2D">
        <w:rPr>
          <w:rFonts w:eastAsia="Times New Roman" w:cs="Arial"/>
          <w:iCs/>
          <w:szCs w:val="20"/>
          <w:lang w:val="es-ES" w:eastAsia="es-ES"/>
        </w:rPr>
        <w:t>31 de marzo del 2024,</w:t>
      </w:r>
      <w:r w:rsidRPr="00367B2D">
        <w:rPr>
          <w:rFonts w:eastAsia="Times New Roman" w:cs="Arial"/>
          <w:iCs/>
          <w:color w:val="FF0000"/>
          <w:szCs w:val="20"/>
          <w:lang w:val="es-ES" w:eastAsia="es-ES"/>
        </w:rPr>
        <w:t xml:space="preserve"> </w:t>
      </w:r>
      <w:r w:rsidRPr="00367B2D">
        <w:rPr>
          <w:rFonts w:eastAsia="Times New Roman" w:cs="Arial"/>
          <w:iCs/>
          <w:szCs w:val="20"/>
          <w:lang w:val="es-ES" w:eastAsia="es-ES"/>
        </w:rPr>
        <w:t>una modificación neta positiva al Presupuesto Aprobado Anual de $ 177,593,427 pesos representando el 3.7 % mayor, llegando a un monto de</w:t>
      </w:r>
      <w:r w:rsidRPr="00367B2D">
        <w:rPr>
          <w:rFonts w:eastAsia="Times New Roman" w:cs="Arial"/>
          <w:iCs/>
          <w:color w:val="FF0000"/>
          <w:szCs w:val="20"/>
          <w:lang w:val="es-ES" w:eastAsia="es-ES"/>
        </w:rPr>
        <w:t xml:space="preserve"> </w:t>
      </w:r>
      <w:r w:rsidRPr="00367B2D">
        <w:rPr>
          <w:rFonts w:eastAsia="Times New Roman" w:cs="Arial"/>
          <w:iCs/>
          <w:szCs w:val="20"/>
          <w:lang w:val="es-ES" w:eastAsia="es-ES"/>
        </w:rPr>
        <w:t>$ 4,922,076,243 pesos, al periodo que se informa.</w:t>
      </w:r>
    </w:p>
    <w:p w14:paraId="21531C1D" w14:textId="77777777" w:rsidR="00367B2D" w:rsidRPr="00367B2D" w:rsidRDefault="00367B2D" w:rsidP="00367B2D">
      <w:pPr>
        <w:autoSpaceDE w:val="0"/>
        <w:autoSpaceDN w:val="0"/>
        <w:adjustRightInd w:val="0"/>
        <w:jc w:val="center"/>
        <w:rPr>
          <w:rFonts w:eastAsia="Times New Roman" w:cs="Arial"/>
          <w:iCs/>
          <w:szCs w:val="20"/>
          <w:lang w:val="es-ES" w:eastAsia="es-ES"/>
        </w:rPr>
      </w:pPr>
    </w:p>
    <w:p w14:paraId="0C6A56BC" w14:textId="77777777" w:rsidR="00367B2D" w:rsidRPr="00367B2D" w:rsidRDefault="00367B2D" w:rsidP="00367B2D">
      <w:pPr>
        <w:autoSpaceDE w:val="0"/>
        <w:autoSpaceDN w:val="0"/>
        <w:adjustRightInd w:val="0"/>
        <w:jc w:val="both"/>
        <w:rPr>
          <w:rFonts w:eastAsia="Times New Roman" w:cs="Arial"/>
          <w:iCs/>
          <w:color w:val="000000"/>
          <w:szCs w:val="20"/>
          <w:lang w:val="es-ES" w:eastAsia="es-ES"/>
        </w:rPr>
      </w:pPr>
      <w:r w:rsidRPr="00367B2D">
        <w:rPr>
          <w:rFonts w:eastAsia="Times New Roman" w:cs="Arial"/>
          <w:iCs/>
          <w:szCs w:val="20"/>
          <w:lang w:val="es-ES" w:eastAsia="es-ES"/>
        </w:rPr>
        <w:lastRenderedPageBreak/>
        <w:t xml:space="preserve">El presupuesto devengado a la fecha que se informa fue de $ 1,025,838,673 pesos, </w:t>
      </w:r>
      <w:r w:rsidRPr="00367B2D">
        <w:rPr>
          <w:rFonts w:eastAsia="Times New Roman" w:cs="Arial"/>
          <w:iCs/>
          <w:color w:val="000000"/>
          <w:szCs w:val="20"/>
          <w:lang w:val="es-ES" w:eastAsia="es-ES"/>
        </w:rPr>
        <w:t>de los cuales se aplicaron en transferencias, asignaciones, subsidios y otras ayudas la cifra de $ 595,756,643 pesos, que representa el 58.1 % del total devengado; $ 206,849,366 pesos a servicios personales, representando el 20.2 % del devengo total; asimismo</w:t>
      </w:r>
      <w:r w:rsidRPr="00367B2D">
        <w:rPr>
          <w:rFonts w:eastAsia="Times New Roman" w:cs="Arial"/>
          <w:iCs/>
          <w:szCs w:val="20"/>
          <w:lang w:val="es-ES" w:eastAsia="es-ES"/>
        </w:rPr>
        <w:t xml:space="preserve"> </w:t>
      </w:r>
      <w:r w:rsidRPr="00367B2D">
        <w:rPr>
          <w:rFonts w:eastAsia="Times New Roman" w:cs="Arial"/>
          <w:iCs/>
          <w:color w:val="000000"/>
          <w:szCs w:val="20"/>
          <w:lang w:val="es-ES" w:eastAsia="es-ES"/>
        </w:rPr>
        <w:t>$ 149,089,101 pesos a servicios generales, equivalente al 14.5 % del devengado total; así mismo $ 73,190,731 pesos en bienes muebles, inmuebles e intangibles equivalente al 7.1 % del devengo total; entre los rubros más sobresalientes.</w:t>
      </w:r>
    </w:p>
    <w:p w14:paraId="668E27BC"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76975566" w14:textId="77777777" w:rsidR="00367B2D" w:rsidRPr="00367B2D" w:rsidRDefault="00367B2D" w:rsidP="00367B2D">
      <w:pPr>
        <w:tabs>
          <w:tab w:val="left" w:pos="4395"/>
        </w:tabs>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drawing>
          <wp:inline distT="0" distB="0" distL="0" distR="0" wp14:anchorId="232990FE" wp14:editId="0CAC377E">
            <wp:extent cx="6331585" cy="2603942"/>
            <wp:effectExtent l="0" t="0" r="0" b="0"/>
            <wp:docPr id="335020228" name="Imagen 33502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1585" cy="2603942"/>
                    </a:xfrm>
                    <a:prstGeom prst="rect">
                      <a:avLst/>
                    </a:prstGeom>
                    <a:noFill/>
                    <a:ln>
                      <a:noFill/>
                    </a:ln>
                  </pic:spPr>
                </pic:pic>
              </a:graphicData>
            </a:graphic>
          </wp:inline>
        </w:drawing>
      </w:r>
    </w:p>
    <w:p w14:paraId="26B41ECB" w14:textId="77777777" w:rsidR="00367B2D" w:rsidRPr="00367B2D" w:rsidRDefault="00367B2D" w:rsidP="00367B2D">
      <w:pPr>
        <w:rPr>
          <w:rFonts w:eastAsia="Calibri" w:cs="Times New Roman"/>
          <w:lang w:eastAsia="es-MX"/>
        </w:rPr>
      </w:pPr>
    </w:p>
    <w:p w14:paraId="670E2B95" w14:textId="77777777" w:rsidR="00367B2D" w:rsidRPr="00367B2D" w:rsidRDefault="00367B2D" w:rsidP="00367B2D">
      <w:pPr>
        <w:spacing w:after="160" w:line="259" w:lineRule="auto"/>
        <w:rPr>
          <w:rFonts w:eastAsia="Times New Roman" w:cs="Times New Roman"/>
          <w:b/>
          <w:sz w:val="24"/>
          <w:szCs w:val="26"/>
          <w:lang w:eastAsia="es-MX"/>
        </w:rPr>
      </w:pPr>
      <w:bookmarkStart w:id="4" w:name="_Hlk125467774"/>
      <w:r w:rsidRPr="00367B2D">
        <w:rPr>
          <w:rFonts w:eastAsia="Times New Roman" w:cs="Times New Roman"/>
          <w:bCs/>
          <w:i/>
          <w:iCs/>
          <w:sz w:val="24"/>
          <w:szCs w:val="26"/>
          <w:lang w:eastAsia="es-MX"/>
        </w:rPr>
        <w:br w:type="page"/>
      </w:r>
    </w:p>
    <w:p w14:paraId="25AAEB2A" w14:textId="77777777" w:rsidR="00367B2D" w:rsidRPr="00367B2D" w:rsidRDefault="00367B2D" w:rsidP="00367B2D">
      <w:pPr>
        <w:jc w:val="both"/>
        <w:rPr>
          <w:rFonts w:eastAsia="Calibri" w:cs="Arial"/>
          <w:b/>
          <w:bCs/>
          <w:iCs/>
          <w:szCs w:val="20"/>
          <w:lang w:val="es-ES" w:eastAsia="es-ES"/>
        </w:rPr>
      </w:pPr>
      <w:r w:rsidRPr="00367B2D">
        <w:rPr>
          <w:rFonts w:eastAsia="Calibri" w:cs="Arial"/>
          <w:b/>
          <w:bCs/>
          <w:szCs w:val="20"/>
          <w:lang w:val="es-ES" w:eastAsia="es-ES"/>
        </w:rPr>
        <w:lastRenderedPageBreak/>
        <w:t>Razones financieras</w:t>
      </w:r>
    </w:p>
    <w:p w14:paraId="290C83A6" w14:textId="77777777" w:rsidR="00367B2D" w:rsidRPr="00367B2D" w:rsidRDefault="00367B2D" w:rsidP="00367B2D">
      <w:pPr>
        <w:tabs>
          <w:tab w:val="left" w:pos="5280"/>
        </w:tabs>
        <w:jc w:val="both"/>
        <w:rPr>
          <w:rFonts w:eastAsia="Calibri" w:cs="Arial"/>
          <w:szCs w:val="20"/>
        </w:rPr>
      </w:pPr>
    </w:p>
    <w:bookmarkEnd w:id="4"/>
    <w:p w14:paraId="60234587" w14:textId="77777777" w:rsidR="00367B2D" w:rsidRPr="00367B2D" w:rsidRDefault="00367B2D" w:rsidP="00367B2D">
      <w:pPr>
        <w:jc w:val="both"/>
        <w:rPr>
          <w:rFonts w:eastAsia="Times New Roman" w:cs="Arial"/>
          <w:iCs/>
          <w:szCs w:val="20"/>
          <w:lang w:val="es-ES" w:eastAsia="es-ES"/>
        </w:rPr>
      </w:pPr>
      <w:r w:rsidRPr="00367B2D">
        <w:rPr>
          <w:rFonts w:eastAsia="Times New Roman" w:cs="Arial"/>
          <w:iCs/>
          <w:szCs w:val="20"/>
          <w:lang w:val="es-ES" w:eastAsia="es-ES"/>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442F3E29" w14:textId="77777777" w:rsidR="00367B2D" w:rsidRPr="00367B2D" w:rsidRDefault="00367B2D" w:rsidP="00367B2D">
      <w:pPr>
        <w:jc w:val="both"/>
        <w:rPr>
          <w:rFonts w:eastAsia="Times New Roman" w:cs="Arial"/>
          <w:iCs/>
          <w:szCs w:val="20"/>
          <w:lang w:val="es-ES" w:eastAsia="es-ES"/>
        </w:rPr>
      </w:pPr>
    </w:p>
    <w:p w14:paraId="637076DF" w14:textId="77777777" w:rsidR="00367B2D" w:rsidRPr="00367B2D" w:rsidRDefault="00367B2D" w:rsidP="00367B2D">
      <w:pPr>
        <w:jc w:val="both"/>
        <w:rPr>
          <w:rFonts w:eastAsia="Times New Roman" w:cs="Arial"/>
          <w:iCs/>
          <w:szCs w:val="20"/>
          <w:lang w:val="es-ES" w:eastAsia="es-ES"/>
        </w:rPr>
      </w:pPr>
      <w:r w:rsidRPr="00367B2D">
        <w:rPr>
          <w:rFonts w:eastAsia="Times New Roman" w:cs="Arial"/>
          <w:iCs/>
          <w:szCs w:val="20"/>
          <w:lang w:val="es-ES" w:eastAsia="es-ES"/>
        </w:rPr>
        <w:t>A los resultados obtenidos al 31 de marzo del ejercicio 2024, se aplicaron las siguientes razones financieras:</w:t>
      </w:r>
    </w:p>
    <w:p w14:paraId="6C8D29E4" w14:textId="77777777" w:rsidR="00367B2D" w:rsidRPr="00367B2D" w:rsidRDefault="00367B2D" w:rsidP="00367B2D">
      <w:pPr>
        <w:jc w:val="both"/>
        <w:rPr>
          <w:rFonts w:eastAsia="Times New Roman" w:cs="Arial"/>
          <w:iCs/>
          <w:szCs w:val="20"/>
          <w:lang w:val="es-ES" w:eastAsia="es-ES"/>
        </w:rPr>
      </w:pPr>
    </w:p>
    <w:p w14:paraId="7E8D0AB5" w14:textId="5666A8B4" w:rsidR="00367B2D" w:rsidRPr="00367B2D" w:rsidRDefault="00367B2D" w:rsidP="00367B2D">
      <w:pPr>
        <w:tabs>
          <w:tab w:val="left" w:pos="5280"/>
        </w:tabs>
        <w:jc w:val="center"/>
        <w:rPr>
          <w:rFonts w:eastAsia="Times New Roman" w:cs="Arial"/>
          <w:iCs/>
          <w:szCs w:val="20"/>
          <w:lang w:val="es-ES" w:eastAsia="es-ES"/>
        </w:rPr>
      </w:pPr>
      <w:r w:rsidRPr="00367B2D">
        <w:drawing>
          <wp:inline distT="0" distB="0" distL="0" distR="0" wp14:anchorId="640F4C79" wp14:editId="5B53E014">
            <wp:extent cx="6691630" cy="249682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1630" cy="2496820"/>
                    </a:xfrm>
                    <a:prstGeom prst="rect">
                      <a:avLst/>
                    </a:prstGeom>
                    <a:noFill/>
                    <a:ln>
                      <a:noFill/>
                    </a:ln>
                  </pic:spPr>
                </pic:pic>
              </a:graphicData>
            </a:graphic>
          </wp:inline>
        </w:drawing>
      </w:r>
    </w:p>
    <w:p w14:paraId="03E0BDC4" w14:textId="77777777" w:rsidR="00367B2D" w:rsidRPr="00367B2D" w:rsidRDefault="00367B2D" w:rsidP="00367B2D">
      <w:pPr>
        <w:jc w:val="both"/>
        <w:rPr>
          <w:rFonts w:eastAsia="Times New Roman" w:cs="Arial"/>
          <w:iCs/>
          <w:szCs w:val="20"/>
          <w:lang w:val="es-ES" w:eastAsia="es-ES"/>
        </w:rPr>
      </w:pPr>
    </w:p>
    <w:p w14:paraId="5FDCACFE" w14:textId="77777777" w:rsidR="00367B2D" w:rsidRPr="00367B2D" w:rsidRDefault="00367B2D" w:rsidP="00367B2D">
      <w:pPr>
        <w:jc w:val="both"/>
        <w:rPr>
          <w:rFonts w:eastAsia="Times New Roman" w:cs="Arial"/>
          <w:iCs/>
          <w:szCs w:val="20"/>
          <w:lang w:val="es-ES" w:eastAsia="es-ES"/>
        </w:rPr>
      </w:pPr>
    </w:p>
    <w:p w14:paraId="2FE56D3B" w14:textId="77777777" w:rsidR="00367B2D" w:rsidRPr="00367B2D" w:rsidRDefault="00367B2D" w:rsidP="00367B2D">
      <w:pPr>
        <w:jc w:val="both"/>
        <w:rPr>
          <w:rFonts w:eastAsia="Times New Roman" w:cs="Arial"/>
          <w:iCs/>
          <w:szCs w:val="20"/>
          <w:lang w:val="es-ES" w:eastAsia="es-ES"/>
        </w:rPr>
      </w:pPr>
      <w:r w:rsidRPr="00367B2D">
        <w:rPr>
          <w:rFonts w:eastAsia="Times New Roman" w:cs="Arial"/>
          <w:iCs/>
          <w:szCs w:val="20"/>
          <w:lang w:val="es-ES" w:eastAsia="es-ES"/>
        </w:rPr>
        <w:t xml:space="preserve">Los Estados Financieros muestran un resultado de $ 2.8 pesos de </w:t>
      </w:r>
      <w:r w:rsidRPr="00367B2D">
        <w:rPr>
          <w:rFonts w:eastAsia="Times New Roman" w:cs="Arial"/>
          <w:b/>
          <w:iCs/>
          <w:szCs w:val="20"/>
          <w:lang w:val="es-ES" w:eastAsia="es-ES"/>
        </w:rPr>
        <w:t>liquidez y disponibilidad inmediata</w:t>
      </w:r>
      <w:r w:rsidRPr="00367B2D">
        <w:rPr>
          <w:rFonts w:eastAsia="Times New Roman" w:cs="Arial"/>
          <w:iCs/>
          <w:szCs w:val="20"/>
          <w:lang w:val="es-ES" w:eastAsia="es-ES"/>
        </w:rPr>
        <w:t xml:space="preserve"> para hacer frente a cada peso de los compromisos de corto plazo.</w:t>
      </w:r>
    </w:p>
    <w:p w14:paraId="0F9C4BED" w14:textId="77777777" w:rsidR="00367B2D" w:rsidRPr="00367B2D" w:rsidRDefault="00367B2D" w:rsidP="00367B2D">
      <w:pPr>
        <w:jc w:val="both"/>
        <w:rPr>
          <w:rFonts w:eastAsia="Times New Roman" w:cs="Arial"/>
          <w:iCs/>
          <w:szCs w:val="20"/>
          <w:lang w:val="es-ES" w:eastAsia="es-ES"/>
        </w:rPr>
      </w:pPr>
    </w:p>
    <w:p w14:paraId="7A196E41" w14:textId="77777777" w:rsidR="00367B2D" w:rsidRPr="00367B2D" w:rsidRDefault="00367B2D" w:rsidP="00367B2D">
      <w:pPr>
        <w:jc w:val="both"/>
        <w:rPr>
          <w:rFonts w:eastAsia="Times New Roman" w:cs="Arial"/>
          <w:iCs/>
          <w:szCs w:val="20"/>
          <w:lang w:val="es-ES" w:eastAsia="es-ES"/>
        </w:rPr>
      </w:pPr>
      <w:r w:rsidRPr="00367B2D">
        <w:rPr>
          <w:rFonts w:eastAsia="Times New Roman" w:cs="Arial"/>
          <w:iCs/>
          <w:szCs w:val="20"/>
          <w:lang w:val="es-ES" w:eastAsia="es-ES"/>
        </w:rPr>
        <w:t xml:space="preserve">La razón de </w:t>
      </w:r>
      <w:r w:rsidRPr="00367B2D">
        <w:rPr>
          <w:rFonts w:eastAsia="Times New Roman" w:cs="Arial"/>
          <w:b/>
          <w:iCs/>
          <w:szCs w:val="20"/>
          <w:lang w:val="es-ES" w:eastAsia="es-ES"/>
        </w:rPr>
        <w:t>solvencia</w:t>
      </w:r>
      <w:r w:rsidRPr="00367B2D">
        <w:rPr>
          <w:rFonts w:eastAsia="Times New Roman" w:cs="Arial"/>
          <w:iCs/>
          <w:szCs w:val="20"/>
          <w:lang w:val="es-ES" w:eastAsia="es-ES"/>
        </w:rPr>
        <w:t xml:space="preserve"> muestra que los Órganos Autónomos cuentan con $ 2.8 pesos para cubrir cada peso que debe por sus compromisos a corto plazo.</w:t>
      </w:r>
    </w:p>
    <w:p w14:paraId="3CA7A56E" w14:textId="77777777" w:rsidR="00367B2D" w:rsidRPr="00367B2D" w:rsidRDefault="00367B2D" w:rsidP="00367B2D">
      <w:pPr>
        <w:jc w:val="both"/>
        <w:rPr>
          <w:rFonts w:eastAsia="Times New Roman" w:cs="Arial"/>
          <w:iCs/>
          <w:szCs w:val="20"/>
          <w:lang w:val="es-ES" w:eastAsia="es-ES"/>
        </w:rPr>
      </w:pPr>
    </w:p>
    <w:p w14:paraId="06824382" w14:textId="77777777" w:rsidR="00367B2D" w:rsidRPr="00367B2D" w:rsidRDefault="00367B2D" w:rsidP="00367B2D">
      <w:pPr>
        <w:jc w:val="both"/>
        <w:rPr>
          <w:rFonts w:eastAsia="Times New Roman" w:cs="Arial"/>
          <w:iCs/>
          <w:szCs w:val="20"/>
          <w:lang w:val="es-ES" w:eastAsia="es-ES"/>
        </w:rPr>
      </w:pPr>
      <w:r w:rsidRPr="00367B2D">
        <w:rPr>
          <w:rFonts w:eastAsia="Times New Roman" w:cs="Arial"/>
          <w:iCs/>
          <w:szCs w:val="20"/>
          <w:lang w:val="es-ES" w:eastAsia="es-ES"/>
        </w:rPr>
        <w:t xml:space="preserve">La </w:t>
      </w:r>
      <w:r w:rsidRPr="00367B2D">
        <w:rPr>
          <w:rFonts w:eastAsia="Times New Roman" w:cs="Arial"/>
          <w:b/>
          <w:iCs/>
          <w:szCs w:val="20"/>
          <w:lang w:val="es-ES" w:eastAsia="es-ES"/>
        </w:rPr>
        <w:t>prueba del ácido</w:t>
      </w:r>
      <w:r w:rsidRPr="00367B2D">
        <w:rPr>
          <w:rFonts w:eastAsia="Times New Roman" w:cs="Arial"/>
          <w:iCs/>
          <w:szCs w:val="20"/>
          <w:lang w:val="es-ES" w:eastAsia="es-ES"/>
        </w:rPr>
        <w:t xml:space="preserve"> indica que los Órganos Autónomos cuentan con $ 2.8 pesos de activos de conversión inmediata en efectivo por cada peso de pasivos a corto plazo.</w:t>
      </w:r>
    </w:p>
    <w:p w14:paraId="4E647DD6" w14:textId="77777777" w:rsidR="00367B2D" w:rsidRPr="00367B2D" w:rsidRDefault="00367B2D" w:rsidP="00367B2D">
      <w:pPr>
        <w:jc w:val="both"/>
        <w:rPr>
          <w:rFonts w:eastAsia="Times New Roman" w:cs="Arial"/>
          <w:iCs/>
          <w:szCs w:val="20"/>
          <w:lang w:val="es-ES" w:eastAsia="es-ES"/>
        </w:rPr>
      </w:pPr>
    </w:p>
    <w:p w14:paraId="003C49A5" w14:textId="77777777" w:rsidR="00367B2D" w:rsidRPr="00367B2D" w:rsidRDefault="00367B2D" w:rsidP="00367B2D">
      <w:pPr>
        <w:jc w:val="both"/>
        <w:rPr>
          <w:rFonts w:eastAsia="Times New Roman" w:cs="Arial"/>
          <w:iCs/>
          <w:szCs w:val="20"/>
          <w:lang w:val="es-ES" w:eastAsia="es-ES"/>
        </w:rPr>
      </w:pPr>
      <w:r w:rsidRPr="00367B2D">
        <w:rPr>
          <w:rFonts w:eastAsia="Times New Roman" w:cs="Arial"/>
          <w:iCs/>
          <w:szCs w:val="20"/>
          <w:lang w:val="es-ES" w:eastAsia="es-ES"/>
        </w:rPr>
        <w:t>La posición financiera que guardan los Órganos Autónomos muestra los ingresos y egresos al 31 de marzo del ejercicio 2024, toda vez que los saldos de los pasivos se han mantenido en niveles saludables y en equilibrio con los ingresos.</w:t>
      </w:r>
    </w:p>
    <w:p w14:paraId="23E1FCAF" w14:textId="77777777" w:rsidR="00367B2D" w:rsidRPr="00367B2D" w:rsidRDefault="00367B2D" w:rsidP="00367B2D">
      <w:pPr>
        <w:jc w:val="both"/>
        <w:rPr>
          <w:rFonts w:eastAsia="Times New Roman" w:cs="Arial"/>
          <w:iCs/>
          <w:szCs w:val="20"/>
          <w:lang w:val="es-ES" w:eastAsia="es-ES"/>
        </w:rPr>
      </w:pPr>
    </w:p>
    <w:p w14:paraId="2FA792D4" w14:textId="77777777" w:rsidR="00367B2D" w:rsidRPr="00367B2D" w:rsidRDefault="00367B2D" w:rsidP="00367B2D">
      <w:pPr>
        <w:jc w:val="both"/>
        <w:rPr>
          <w:rFonts w:eastAsia="Times New Roman" w:cs="Arial"/>
          <w:iCs/>
          <w:szCs w:val="20"/>
          <w:lang w:val="es-ES" w:eastAsia="es-ES"/>
        </w:rPr>
      </w:pPr>
      <w:r w:rsidRPr="00367B2D">
        <w:rPr>
          <w:rFonts w:eastAsia="Times New Roman" w:cs="Arial"/>
          <w:iCs/>
          <w:szCs w:val="20"/>
          <w:lang w:val="es-ES" w:eastAsia="es-ES"/>
        </w:rPr>
        <w:t>En conclusión, las obligaciones que se tienen a corto plazo, son cubiertas con el total de los activos propiedad de los órganos autónomos.</w:t>
      </w:r>
    </w:p>
    <w:p w14:paraId="4AB89B4B" w14:textId="77777777" w:rsidR="00367B2D" w:rsidRPr="00367B2D" w:rsidRDefault="00367B2D" w:rsidP="00367B2D">
      <w:pPr>
        <w:rPr>
          <w:rFonts w:eastAsia="Times New Roman" w:cs="Arial"/>
          <w:b/>
          <w:iCs/>
          <w:caps/>
          <w:szCs w:val="20"/>
          <w:lang w:val="es-ES" w:eastAsia="es-ES"/>
        </w:rPr>
      </w:pPr>
    </w:p>
    <w:p w14:paraId="272A62A4" w14:textId="77777777" w:rsidR="00367B2D" w:rsidRPr="00367B2D" w:rsidRDefault="00367B2D" w:rsidP="00367B2D">
      <w:pPr>
        <w:spacing w:after="160" w:line="259" w:lineRule="auto"/>
        <w:rPr>
          <w:rFonts w:eastAsia="Times New Roman" w:cs="Arial"/>
          <w:b/>
          <w:iCs/>
          <w:caps/>
          <w:szCs w:val="20"/>
          <w:lang w:val="es-ES" w:eastAsia="es-ES"/>
        </w:rPr>
      </w:pPr>
      <w:r w:rsidRPr="00367B2D">
        <w:rPr>
          <w:rFonts w:eastAsia="Times New Roman" w:cs="Arial"/>
          <w:b/>
          <w:iCs/>
          <w:caps/>
          <w:szCs w:val="20"/>
          <w:lang w:val="es-ES" w:eastAsia="es-ES"/>
        </w:rPr>
        <w:br w:type="page"/>
      </w:r>
    </w:p>
    <w:p w14:paraId="2016F19E" w14:textId="77777777" w:rsidR="00367B2D" w:rsidRPr="00367B2D" w:rsidRDefault="00367B2D" w:rsidP="00367B2D">
      <w:pPr>
        <w:keepNext/>
        <w:keepLines/>
        <w:jc w:val="both"/>
        <w:outlineLvl w:val="0"/>
        <w:rPr>
          <w:rFonts w:eastAsia="Times New Roman" w:cs="Times New Roman"/>
          <w:b/>
          <w:bCs/>
          <w:iCs/>
          <w:color w:val="9E213D"/>
          <w:sz w:val="28"/>
          <w:szCs w:val="32"/>
          <w:lang w:eastAsia="es-MX"/>
        </w:rPr>
      </w:pPr>
      <w:bookmarkStart w:id="5" w:name="_Hlk125467787"/>
      <w:bookmarkStart w:id="6" w:name="_GoBack"/>
      <w:r w:rsidRPr="00367B2D">
        <w:rPr>
          <w:rFonts w:eastAsia="Times New Roman" w:cs="Times New Roman"/>
          <w:b/>
          <w:color w:val="9E213D"/>
          <w:sz w:val="28"/>
          <w:szCs w:val="32"/>
          <w:lang w:eastAsia="es-MX"/>
        </w:rPr>
        <w:lastRenderedPageBreak/>
        <w:t>Reporte analítico del activo no circulante</w:t>
      </w:r>
    </w:p>
    <w:bookmarkEnd w:id="6"/>
    <w:p w14:paraId="2B3FEB2E" w14:textId="77777777" w:rsidR="00367B2D" w:rsidRPr="00367B2D" w:rsidRDefault="00367B2D" w:rsidP="00367B2D">
      <w:pPr>
        <w:widowControl w:val="0"/>
        <w:jc w:val="both"/>
        <w:rPr>
          <w:rFonts w:eastAsia="Calibri" w:cs="Arial"/>
          <w:szCs w:val="20"/>
        </w:rPr>
      </w:pPr>
    </w:p>
    <w:bookmarkEnd w:id="5"/>
    <w:p w14:paraId="4E2E00B4" w14:textId="77777777" w:rsidR="00367B2D" w:rsidRPr="00367B2D" w:rsidRDefault="00367B2D" w:rsidP="00367B2D">
      <w:pPr>
        <w:jc w:val="both"/>
        <w:rPr>
          <w:rFonts w:eastAsia="Times New Roman" w:cs="Arial"/>
          <w:iCs/>
          <w:szCs w:val="20"/>
          <w:lang w:val="es-ES" w:eastAsia="es-ES"/>
        </w:rPr>
      </w:pPr>
      <w:r w:rsidRPr="00367B2D">
        <w:rPr>
          <w:rFonts w:eastAsia="Times New Roman" w:cs="Arial"/>
          <w:iCs/>
          <w:szCs w:val="20"/>
          <w:lang w:val="es-ES" w:eastAsia="es-ES"/>
        </w:rPr>
        <w:t>A continuación, se presentan los saldos por tipo de activo no circulante registrado en los estados financieros consolidados de los Órganos Autónomos, al 31 de marzo de 2024. Este reporte muestra el total de las adquisiciones que cada uno de los entes públicos integran su patrimonio.</w:t>
      </w:r>
    </w:p>
    <w:p w14:paraId="55DDCDAF"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392899AD"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drawing>
          <wp:inline distT="0" distB="0" distL="0" distR="0" wp14:anchorId="71690F11" wp14:editId="6673F975">
            <wp:extent cx="6331585" cy="1897553"/>
            <wp:effectExtent l="0" t="0" r="0" b="7620"/>
            <wp:docPr id="335020241" name="Imagen 33502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31585" cy="1897553"/>
                    </a:xfrm>
                    <a:prstGeom prst="rect">
                      <a:avLst/>
                    </a:prstGeom>
                    <a:noFill/>
                    <a:ln>
                      <a:noFill/>
                    </a:ln>
                  </pic:spPr>
                </pic:pic>
              </a:graphicData>
            </a:graphic>
          </wp:inline>
        </w:drawing>
      </w:r>
    </w:p>
    <w:p w14:paraId="659C5949" w14:textId="77777777" w:rsidR="00367B2D" w:rsidRPr="00367B2D" w:rsidRDefault="00367B2D" w:rsidP="00367B2D">
      <w:pPr>
        <w:autoSpaceDE w:val="0"/>
        <w:autoSpaceDN w:val="0"/>
        <w:adjustRightInd w:val="0"/>
        <w:jc w:val="both"/>
        <w:rPr>
          <w:rFonts w:eastAsia="Times New Roman" w:cs="Arial"/>
          <w:iCs/>
          <w:szCs w:val="20"/>
          <w:lang w:val="es-ES" w:eastAsia="es-ES"/>
        </w:rPr>
      </w:pPr>
    </w:p>
    <w:p w14:paraId="3A1A44C0" w14:textId="77777777" w:rsidR="00367B2D" w:rsidRPr="00367B2D" w:rsidRDefault="00367B2D" w:rsidP="00367B2D">
      <w:pPr>
        <w:autoSpaceDE w:val="0"/>
        <w:autoSpaceDN w:val="0"/>
        <w:adjustRightInd w:val="0"/>
        <w:rPr>
          <w:rFonts w:eastAsia="Times New Roman" w:cs="Arial"/>
          <w:iCs/>
          <w:szCs w:val="20"/>
          <w:lang w:val="es-ES" w:eastAsia="es-ES"/>
        </w:rPr>
      </w:pPr>
    </w:p>
    <w:p w14:paraId="1CCC3D90" w14:textId="77777777" w:rsidR="00367B2D" w:rsidRPr="00367B2D" w:rsidRDefault="00367B2D" w:rsidP="00367B2D">
      <w:pPr>
        <w:autoSpaceDE w:val="0"/>
        <w:autoSpaceDN w:val="0"/>
        <w:adjustRightInd w:val="0"/>
        <w:rPr>
          <w:rFonts w:eastAsia="Times New Roman" w:cs="Arial"/>
          <w:iCs/>
          <w:szCs w:val="20"/>
          <w:lang w:val="es-ES" w:eastAsia="es-ES"/>
        </w:rPr>
      </w:pPr>
    </w:p>
    <w:p w14:paraId="62627F8C"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drawing>
          <wp:inline distT="0" distB="0" distL="0" distR="0" wp14:anchorId="0A35E821" wp14:editId="5116FFAC">
            <wp:extent cx="6331585" cy="2098607"/>
            <wp:effectExtent l="0" t="0" r="0" b="0"/>
            <wp:docPr id="335020231" name="Imagen 33502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31585" cy="2098607"/>
                    </a:xfrm>
                    <a:prstGeom prst="rect">
                      <a:avLst/>
                    </a:prstGeom>
                    <a:noFill/>
                    <a:ln>
                      <a:noFill/>
                    </a:ln>
                  </pic:spPr>
                </pic:pic>
              </a:graphicData>
            </a:graphic>
          </wp:inline>
        </w:drawing>
      </w:r>
    </w:p>
    <w:p w14:paraId="77C40D93" w14:textId="77777777" w:rsidR="00367B2D" w:rsidRPr="00367B2D" w:rsidRDefault="00367B2D" w:rsidP="00367B2D">
      <w:pPr>
        <w:rPr>
          <w:rFonts w:eastAsia="Times New Roman" w:cs="Arial"/>
          <w:iCs/>
          <w:szCs w:val="20"/>
          <w:lang w:val="es-ES" w:eastAsia="es-ES"/>
        </w:rPr>
      </w:pPr>
    </w:p>
    <w:p w14:paraId="3749B9F0" w14:textId="77777777" w:rsidR="00367B2D" w:rsidRPr="00367B2D" w:rsidRDefault="00367B2D" w:rsidP="00367B2D">
      <w:pPr>
        <w:rPr>
          <w:rFonts w:eastAsia="Times New Roman" w:cs="Arial"/>
          <w:iCs/>
          <w:szCs w:val="20"/>
          <w:lang w:val="es-ES" w:eastAsia="es-ES"/>
        </w:rPr>
      </w:pPr>
    </w:p>
    <w:p w14:paraId="226EF7A4" w14:textId="77777777" w:rsidR="00367B2D" w:rsidRPr="00367B2D" w:rsidRDefault="00367B2D" w:rsidP="00367B2D">
      <w:pPr>
        <w:rPr>
          <w:rFonts w:eastAsia="Times New Roman" w:cs="Arial"/>
          <w:iCs/>
          <w:szCs w:val="20"/>
          <w:lang w:val="es-ES" w:eastAsia="es-ES"/>
        </w:rPr>
      </w:pPr>
    </w:p>
    <w:p w14:paraId="161F250C"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drawing>
          <wp:inline distT="0" distB="0" distL="0" distR="0" wp14:anchorId="7A5B4079" wp14:editId="19C55DBE">
            <wp:extent cx="6331585" cy="1311698"/>
            <wp:effectExtent l="0" t="0" r="0" b="0"/>
            <wp:docPr id="335020232" name="Imagen 33502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31585" cy="1311698"/>
                    </a:xfrm>
                    <a:prstGeom prst="rect">
                      <a:avLst/>
                    </a:prstGeom>
                    <a:noFill/>
                    <a:ln>
                      <a:noFill/>
                    </a:ln>
                  </pic:spPr>
                </pic:pic>
              </a:graphicData>
            </a:graphic>
          </wp:inline>
        </w:drawing>
      </w:r>
    </w:p>
    <w:p w14:paraId="43DD085D" w14:textId="77777777" w:rsidR="00367B2D" w:rsidRPr="00367B2D" w:rsidRDefault="00367B2D" w:rsidP="00367B2D">
      <w:pPr>
        <w:autoSpaceDE w:val="0"/>
        <w:autoSpaceDN w:val="0"/>
        <w:adjustRightInd w:val="0"/>
        <w:rPr>
          <w:rFonts w:eastAsia="Times New Roman" w:cs="Arial"/>
          <w:iCs/>
          <w:noProof/>
          <w:szCs w:val="20"/>
          <w:lang w:val="es-ES" w:eastAsia="es-MX"/>
        </w:rPr>
      </w:pPr>
    </w:p>
    <w:p w14:paraId="1196AACF" w14:textId="77777777" w:rsidR="00367B2D" w:rsidRPr="00367B2D" w:rsidRDefault="00367B2D" w:rsidP="00367B2D">
      <w:pPr>
        <w:autoSpaceDE w:val="0"/>
        <w:autoSpaceDN w:val="0"/>
        <w:adjustRightInd w:val="0"/>
        <w:rPr>
          <w:rFonts w:eastAsia="Times New Roman" w:cs="Arial"/>
          <w:iCs/>
          <w:noProof/>
          <w:szCs w:val="20"/>
          <w:lang w:val="es-ES" w:eastAsia="es-MX"/>
        </w:rPr>
      </w:pPr>
    </w:p>
    <w:p w14:paraId="5C238490" w14:textId="77777777" w:rsidR="00367B2D" w:rsidRPr="00367B2D" w:rsidRDefault="00367B2D" w:rsidP="00367B2D">
      <w:pPr>
        <w:autoSpaceDE w:val="0"/>
        <w:autoSpaceDN w:val="0"/>
        <w:adjustRightInd w:val="0"/>
        <w:rPr>
          <w:rFonts w:eastAsia="Times New Roman" w:cs="Arial"/>
          <w:iCs/>
          <w:noProof/>
          <w:szCs w:val="20"/>
          <w:lang w:val="es-ES" w:eastAsia="es-MX"/>
        </w:rPr>
      </w:pPr>
    </w:p>
    <w:p w14:paraId="59A17F72"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lastRenderedPageBreak/>
        <w:drawing>
          <wp:inline distT="0" distB="0" distL="0" distR="0" wp14:anchorId="43A9F832" wp14:editId="6AA37C84">
            <wp:extent cx="6331585" cy="1915798"/>
            <wp:effectExtent l="0" t="0" r="0" b="0"/>
            <wp:docPr id="335020233" name="Imagen 33502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31585" cy="1915798"/>
                    </a:xfrm>
                    <a:prstGeom prst="rect">
                      <a:avLst/>
                    </a:prstGeom>
                    <a:noFill/>
                    <a:ln>
                      <a:noFill/>
                    </a:ln>
                  </pic:spPr>
                </pic:pic>
              </a:graphicData>
            </a:graphic>
          </wp:inline>
        </w:drawing>
      </w:r>
    </w:p>
    <w:p w14:paraId="23A33147" w14:textId="77777777" w:rsidR="00367B2D" w:rsidRPr="00367B2D" w:rsidRDefault="00367B2D" w:rsidP="00367B2D">
      <w:pPr>
        <w:autoSpaceDE w:val="0"/>
        <w:autoSpaceDN w:val="0"/>
        <w:adjustRightInd w:val="0"/>
        <w:rPr>
          <w:rFonts w:eastAsia="Times New Roman" w:cs="Arial"/>
          <w:iCs/>
          <w:szCs w:val="20"/>
          <w:lang w:val="es-ES" w:eastAsia="es-ES"/>
        </w:rPr>
      </w:pPr>
    </w:p>
    <w:p w14:paraId="46A623BE" w14:textId="77777777" w:rsidR="00367B2D" w:rsidRPr="00367B2D" w:rsidRDefault="00367B2D" w:rsidP="00367B2D">
      <w:pPr>
        <w:autoSpaceDE w:val="0"/>
        <w:autoSpaceDN w:val="0"/>
        <w:adjustRightInd w:val="0"/>
        <w:rPr>
          <w:rFonts w:eastAsia="Times New Roman" w:cs="Arial"/>
          <w:iCs/>
          <w:szCs w:val="20"/>
          <w:lang w:val="es-ES" w:eastAsia="es-ES"/>
        </w:rPr>
      </w:pPr>
    </w:p>
    <w:p w14:paraId="6EB61DA4" w14:textId="77777777" w:rsidR="00367B2D" w:rsidRPr="00367B2D" w:rsidRDefault="00367B2D" w:rsidP="00367B2D">
      <w:pPr>
        <w:autoSpaceDE w:val="0"/>
        <w:autoSpaceDN w:val="0"/>
        <w:adjustRightInd w:val="0"/>
        <w:rPr>
          <w:rFonts w:eastAsia="Times New Roman" w:cs="Arial"/>
          <w:iCs/>
          <w:szCs w:val="20"/>
          <w:lang w:val="es-ES" w:eastAsia="es-ES"/>
        </w:rPr>
      </w:pPr>
    </w:p>
    <w:p w14:paraId="5B9C12D0"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drawing>
          <wp:inline distT="0" distB="0" distL="0" distR="0" wp14:anchorId="1CECB271" wp14:editId="3F864E66">
            <wp:extent cx="6331585" cy="1666916"/>
            <wp:effectExtent l="0" t="0" r="0" b="9525"/>
            <wp:docPr id="335020234" name="Imagen 33502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31585" cy="1666916"/>
                    </a:xfrm>
                    <a:prstGeom prst="rect">
                      <a:avLst/>
                    </a:prstGeom>
                    <a:noFill/>
                    <a:ln>
                      <a:noFill/>
                    </a:ln>
                  </pic:spPr>
                </pic:pic>
              </a:graphicData>
            </a:graphic>
          </wp:inline>
        </w:drawing>
      </w:r>
    </w:p>
    <w:p w14:paraId="0D8AA7AF" w14:textId="77777777" w:rsidR="00367B2D" w:rsidRPr="00367B2D" w:rsidRDefault="00367B2D" w:rsidP="00367B2D">
      <w:pPr>
        <w:autoSpaceDE w:val="0"/>
        <w:autoSpaceDN w:val="0"/>
        <w:adjustRightInd w:val="0"/>
        <w:rPr>
          <w:rFonts w:eastAsia="Times New Roman" w:cs="Arial"/>
          <w:iCs/>
          <w:szCs w:val="20"/>
          <w:lang w:val="es-ES" w:eastAsia="es-ES"/>
        </w:rPr>
      </w:pPr>
    </w:p>
    <w:p w14:paraId="1B4F8A31" w14:textId="77777777" w:rsidR="00367B2D" w:rsidRPr="00367B2D" w:rsidRDefault="00367B2D" w:rsidP="00367B2D">
      <w:pPr>
        <w:autoSpaceDE w:val="0"/>
        <w:autoSpaceDN w:val="0"/>
        <w:adjustRightInd w:val="0"/>
        <w:rPr>
          <w:rFonts w:eastAsia="Times New Roman" w:cs="Arial"/>
          <w:iCs/>
          <w:szCs w:val="20"/>
          <w:lang w:val="es-ES" w:eastAsia="es-ES"/>
        </w:rPr>
      </w:pPr>
    </w:p>
    <w:p w14:paraId="55753452" w14:textId="77777777" w:rsidR="00367B2D" w:rsidRPr="00367B2D" w:rsidRDefault="00367B2D" w:rsidP="00367B2D">
      <w:pPr>
        <w:autoSpaceDE w:val="0"/>
        <w:autoSpaceDN w:val="0"/>
        <w:adjustRightInd w:val="0"/>
        <w:rPr>
          <w:rFonts w:eastAsia="Times New Roman" w:cs="Arial"/>
          <w:iCs/>
          <w:szCs w:val="20"/>
          <w:lang w:val="es-ES" w:eastAsia="es-ES"/>
        </w:rPr>
      </w:pPr>
    </w:p>
    <w:p w14:paraId="0C650250"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drawing>
          <wp:inline distT="0" distB="0" distL="0" distR="0" wp14:anchorId="1E7A857C" wp14:editId="5D5FA523">
            <wp:extent cx="6331585" cy="2112635"/>
            <wp:effectExtent l="0" t="0" r="0" b="0"/>
            <wp:docPr id="335020235" name="Imagen 33502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31585" cy="2112635"/>
                    </a:xfrm>
                    <a:prstGeom prst="rect">
                      <a:avLst/>
                    </a:prstGeom>
                    <a:noFill/>
                    <a:ln>
                      <a:noFill/>
                    </a:ln>
                  </pic:spPr>
                </pic:pic>
              </a:graphicData>
            </a:graphic>
          </wp:inline>
        </w:drawing>
      </w:r>
    </w:p>
    <w:p w14:paraId="1A166658" w14:textId="77777777" w:rsidR="00367B2D" w:rsidRPr="00367B2D" w:rsidRDefault="00367B2D" w:rsidP="00367B2D">
      <w:pPr>
        <w:autoSpaceDE w:val="0"/>
        <w:autoSpaceDN w:val="0"/>
        <w:adjustRightInd w:val="0"/>
        <w:jc w:val="center"/>
        <w:rPr>
          <w:rFonts w:eastAsia="Times New Roman" w:cs="Arial"/>
          <w:iCs/>
          <w:szCs w:val="20"/>
          <w:lang w:val="es-ES" w:eastAsia="es-ES"/>
        </w:rPr>
      </w:pPr>
    </w:p>
    <w:p w14:paraId="6861090B" w14:textId="77777777" w:rsidR="00367B2D" w:rsidRPr="00367B2D" w:rsidRDefault="00367B2D" w:rsidP="00367B2D">
      <w:pPr>
        <w:autoSpaceDE w:val="0"/>
        <w:autoSpaceDN w:val="0"/>
        <w:adjustRightInd w:val="0"/>
        <w:jc w:val="center"/>
        <w:rPr>
          <w:rFonts w:eastAsia="Times New Roman" w:cs="Arial"/>
          <w:iCs/>
          <w:szCs w:val="20"/>
          <w:lang w:val="es-ES" w:eastAsia="es-ES"/>
        </w:rPr>
      </w:pPr>
    </w:p>
    <w:p w14:paraId="6DA4EB59"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lastRenderedPageBreak/>
        <w:drawing>
          <wp:inline distT="0" distB="0" distL="0" distR="0" wp14:anchorId="394F074F" wp14:editId="27D82224">
            <wp:extent cx="6331585" cy="1948942"/>
            <wp:effectExtent l="0" t="0" r="0" b="0"/>
            <wp:docPr id="335020236" name="Imagen 33502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31585" cy="1948942"/>
                    </a:xfrm>
                    <a:prstGeom prst="rect">
                      <a:avLst/>
                    </a:prstGeom>
                    <a:noFill/>
                    <a:ln>
                      <a:noFill/>
                    </a:ln>
                  </pic:spPr>
                </pic:pic>
              </a:graphicData>
            </a:graphic>
          </wp:inline>
        </w:drawing>
      </w:r>
    </w:p>
    <w:p w14:paraId="6AE594F0" w14:textId="77777777" w:rsidR="00367B2D" w:rsidRPr="00367B2D" w:rsidRDefault="00367B2D" w:rsidP="00367B2D">
      <w:pPr>
        <w:rPr>
          <w:rFonts w:eastAsia="Times New Roman" w:cs="Arial"/>
          <w:iCs/>
          <w:szCs w:val="20"/>
          <w:lang w:val="es-ES" w:eastAsia="es-ES"/>
        </w:rPr>
      </w:pPr>
    </w:p>
    <w:p w14:paraId="048FB2B4" w14:textId="77777777" w:rsidR="00367B2D" w:rsidRPr="00367B2D" w:rsidRDefault="00367B2D" w:rsidP="00367B2D">
      <w:pPr>
        <w:rPr>
          <w:rFonts w:eastAsia="Times New Roman" w:cs="Arial"/>
          <w:iCs/>
          <w:szCs w:val="20"/>
          <w:lang w:val="es-ES" w:eastAsia="es-ES"/>
        </w:rPr>
      </w:pPr>
    </w:p>
    <w:p w14:paraId="17C74C14" w14:textId="77777777" w:rsidR="00367B2D" w:rsidRPr="00367B2D" w:rsidRDefault="00367B2D" w:rsidP="00367B2D">
      <w:pPr>
        <w:rPr>
          <w:rFonts w:eastAsia="Times New Roman" w:cs="Arial"/>
          <w:iCs/>
          <w:szCs w:val="20"/>
          <w:lang w:val="es-ES" w:eastAsia="es-ES"/>
        </w:rPr>
      </w:pPr>
    </w:p>
    <w:p w14:paraId="53BE66F1" w14:textId="77777777" w:rsidR="00367B2D" w:rsidRPr="00367B2D" w:rsidRDefault="00367B2D" w:rsidP="00367B2D">
      <w:pPr>
        <w:jc w:val="center"/>
        <w:rPr>
          <w:rFonts w:eastAsia="Times New Roman" w:cs="Arial"/>
          <w:b/>
          <w:bCs/>
          <w:iCs/>
          <w:caps/>
          <w:szCs w:val="20"/>
          <w:lang w:val="es-ES" w:eastAsia="es-ES"/>
        </w:rPr>
      </w:pPr>
      <w:r w:rsidRPr="00367B2D">
        <w:rPr>
          <w:rFonts w:ascii="Calibri" w:eastAsia="Calibri" w:hAnsi="Calibri" w:cs="Times New Roman"/>
          <w:noProof/>
          <w:sz w:val="22"/>
          <w:lang w:eastAsia="es-MX"/>
        </w:rPr>
        <w:drawing>
          <wp:inline distT="0" distB="0" distL="0" distR="0" wp14:anchorId="29A27AA6" wp14:editId="5947F54A">
            <wp:extent cx="6331585" cy="1948942"/>
            <wp:effectExtent l="0" t="0" r="0" b="0"/>
            <wp:docPr id="335020237" name="Imagen 335020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31585" cy="1948942"/>
                    </a:xfrm>
                    <a:prstGeom prst="rect">
                      <a:avLst/>
                    </a:prstGeom>
                    <a:noFill/>
                    <a:ln>
                      <a:noFill/>
                    </a:ln>
                  </pic:spPr>
                </pic:pic>
              </a:graphicData>
            </a:graphic>
          </wp:inline>
        </w:drawing>
      </w:r>
    </w:p>
    <w:p w14:paraId="4A8016EC" w14:textId="77777777" w:rsidR="00367B2D" w:rsidRPr="00367B2D" w:rsidRDefault="00367B2D" w:rsidP="00367B2D">
      <w:pPr>
        <w:rPr>
          <w:rFonts w:eastAsia="Arial" w:cs="Arial"/>
          <w:iCs/>
          <w:szCs w:val="20"/>
          <w:lang w:val="es-ES" w:eastAsia="es-ES"/>
        </w:rPr>
      </w:pPr>
    </w:p>
    <w:p w14:paraId="2EFC40BD" w14:textId="77777777" w:rsidR="00367B2D" w:rsidRPr="00367B2D" w:rsidRDefault="00367B2D" w:rsidP="00367B2D">
      <w:pPr>
        <w:rPr>
          <w:rFonts w:eastAsia="Arial" w:cs="Arial"/>
          <w:iCs/>
          <w:szCs w:val="20"/>
          <w:lang w:val="es-ES" w:eastAsia="es-ES"/>
        </w:rPr>
      </w:pPr>
    </w:p>
    <w:p w14:paraId="1E4C66CF" w14:textId="77777777" w:rsidR="00367B2D" w:rsidRPr="00367B2D" w:rsidRDefault="00367B2D" w:rsidP="00367B2D">
      <w:pPr>
        <w:rPr>
          <w:rFonts w:eastAsia="Arial" w:cs="Arial"/>
          <w:iCs/>
          <w:szCs w:val="20"/>
          <w:lang w:val="es-ES" w:eastAsia="es-ES"/>
        </w:rPr>
      </w:pPr>
    </w:p>
    <w:p w14:paraId="7410C5FF" w14:textId="77777777" w:rsidR="00367B2D" w:rsidRPr="00367B2D" w:rsidRDefault="00367B2D" w:rsidP="00367B2D">
      <w:pPr>
        <w:autoSpaceDE w:val="0"/>
        <w:autoSpaceDN w:val="0"/>
        <w:adjustRightInd w:val="0"/>
        <w:jc w:val="center"/>
        <w:rPr>
          <w:rFonts w:eastAsia="Times New Roman" w:cs="Arial"/>
          <w:iCs/>
          <w:szCs w:val="20"/>
          <w:lang w:val="es-ES" w:eastAsia="es-ES"/>
        </w:rPr>
      </w:pPr>
      <w:r w:rsidRPr="00367B2D">
        <w:rPr>
          <w:rFonts w:ascii="Calibri" w:eastAsia="Calibri" w:hAnsi="Calibri" w:cs="Times New Roman"/>
          <w:noProof/>
          <w:sz w:val="22"/>
          <w:lang w:eastAsia="es-MX"/>
        </w:rPr>
        <w:drawing>
          <wp:inline distT="0" distB="0" distL="0" distR="0" wp14:anchorId="389A008F" wp14:editId="07143E47">
            <wp:extent cx="6331585" cy="1656215"/>
            <wp:effectExtent l="0" t="0" r="0" b="0"/>
            <wp:docPr id="335020238" name="Imagen 33502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31585" cy="1656215"/>
                    </a:xfrm>
                    <a:prstGeom prst="rect">
                      <a:avLst/>
                    </a:prstGeom>
                    <a:noFill/>
                    <a:ln>
                      <a:noFill/>
                    </a:ln>
                  </pic:spPr>
                </pic:pic>
              </a:graphicData>
            </a:graphic>
          </wp:inline>
        </w:drawing>
      </w:r>
    </w:p>
    <w:p w14:paraId="4288CDAF" w14:textId="77777777" w:rsidR="00367B2D" w:rsidRPr="00367B2D" w:rsidRDefault="00367B2D" w:rsidP="00367B2D">
      <w:pPr>
        <w:autoSpaceDE w:val="0"/>
        <w:autoSpaceDN w:val="0"/>
        <w:adjustRightInd w:val="0"/>
        <w:rPr>
          <w:rFonts w:eastAsia="Times New Roman" w:cs="Arial"/>
          <w:iCs/>
          <w:szCs w:val="20"/>
          <w:lang w:val="es-ES" w:eastAsia="es-ES"/>
        </w:rPr>
      </w:pPr>
    </w:p>
    <w:p w14:paraId="15478AC5" w14:textId="77777777" w:rsidR="00367B2D" w:rsidRPr="00367B2D" w:rsidRDefault="00367B2D" w:rsidP="00367B2D">
      <w:pPr>
        <w:rPr>
          <w:rFonts w:eastAsia="Arial" w:cs="Arial"/>
          <w:iCs/>
          <w:szCs w:val="20"/>
          <w:lang w:val="es-ES" w:eastAsia="es-ES"/>
        </w:rPr>
      </w:pPr>
    </w:p>
    <w:p w14:paraId="07D1FD53" w14:textId="1DF00942" w:rsidR="007955B7" w:rsidRDefault="007955B7" w:rsidP="000116EA">
      <w:pPr>
        <w:jc w:val="both"/>
        <w:rPr>
          <w:rFonts w:eastAsia="Arial" w:cs="Arial"/>
        </w:rPr>
      </w:pPr>
    </w:p>
    <w:p w14:paraId="1C9FF3FB" w14:textId="77777777" w:rsidR="007955B7" w:rsidRDefault="007955B7" w:rsidP="000116EA">
      <w:pPr>
        <w:jc w:val="both"/>
        <w:rPr>
          <w:rFonts w:eastAsia="Arial" w:cs="Arial"/>
        </w:rPr>
      </w:pPr>
    </w:p>
    <w:sectPr w:rsidR="007955B7" w:rsidSect="00745DBA">
      <w:headerReference w:type="default" r:id="rId53"/>
      <w:footerReference w:type="even" r:id="rId54"/>
      <w:footerReference w:type="default" r:id="rId55"/>
      <w:type w:val="continuous"/>
      <w:pgSz w:w="12240" w:h="15840" w:code="122"/>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6B2CD" w14:textId="77777777" w:rsidR="00FE540C" w:rsidRDefault="00FE540C" w:rsidP="00DB7283">
      <w:r>
        <w:separator/>
      </w:r>
    </w:p>
  </w:endnote>
  <w:endnote w:type="continuationSeparator" w:id="0">
    <w:p w14:paraId="405E4E10" w14:textId="77777777" w:rsidR="00FE540C" w:rsidRDefault="00FE540C"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w:altName w:val="Century"/>
    <w:panose1 w:val="02000604040000020004"/>
    <w:charset w:val="00"/>
    <w:family w:val="auto"/>
    <w:pitch w:val="variable"/>
    <w:sig w:usb0="A00000AF" w:usb1="50000048" w:usb2="00000000" w:usb3="00000000" w:csb0="00000119" w:csb1="00000000"/>
  </w:font>
  <w:font w:name="Verdana">
    <w:panose1 w:val="020B0604030504040204"/>
    <w:charset w:val="00"/>
    <w:family w:val="swiss"/>
    <w:pitch w:val="variable"/>
    <w:sig w:usb0="A00006FF" w:usb1="4000205B" w:usb2="00000010" w:usb3="00000000" w:csb0="0000019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altName w:val="Arial"/>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FF37" w14:textId="77777777" w:rsidR="00D55EE3" w:rsidRPr="00FC6C71" w:rsidRDefault="00D55EE3" w:rsidP="005C384A">
    <w:pPr>
      <w:pStyle w:val="Piedepgina"/>
      <w:rPr>
        <w:rStyle w:val="Nmerodepgina"/>
        <w:rFonts w:eastAsia="Kozuka Gothic Pro M" w:cs="Arial"/>
        <w:sz w:val="18"/>
        <w:szCs w:val="18"/>
      </w:rPr>
    </w:pPr>
  </w:p>
  <w:p w14:paraId="332AD665" w14:textId="77777777" w:rsidR="00D55EE3" w:rsidRPr="006A44C4" w:rsidRDefault="00D55EE3" w:rsidP="00C82E6B">
    <w:pPr>
      <w:pStyle w:val="Piedepgina"/>
      <w:framePr w:w="527" w:wrap="around" w:vAnchor="text" w:hAnchor="margin" w:y="75"/>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9D40B2">
      <w:rPr>
        <w:rStyle w:val="Nmerodepgina"/>
        <w:rFonts w:ascii="GothamMedium" w:eastAsia="Kozuka Gothic Pro M" w:hAnsi="GothamMedium" w:cs="Arial"/>
        <w:noProof/>
        <w:sz w:val="18"/>
        <w:szCs w:val="20"/>
      </w:rPr>
      <w:t>30</w:t>
    </w:r>
    <w:r w:rsidRPr="006A44C4">
      <w:rPr>
        <w:rStyle w:val="Nmerodepgina"/>
        <w:rFonts w:ascii="GothamMedium" w:eastAsia="Kozuka Gothic Pro M" w:hAnsi="GothamMedium" w:cs="Arial"/>
        <w:sz w:val="18"/>
        <w:szCs w:val="20"/>
      </w:rPr>
      <w:fldChar w:fldCharType="end"/>
    </w:r>
  </w:p>
  <w:p w14:paraId="0D6FAC73" w14:textId="77777777" w:rsidR="00D55EE3" w:rsidRPr="005C384A" w:rsidRDefault="00D55EE3" w:rsidP="005C384A">
    <w:pPr>
      <w:pStyle w:val="Piedepgina"/>
      <w:rPr>
        <w:rFonts w:cs="Arial"/>
        <w:sz w:val="18"/>
        <w:szCs w:val="18"/>
        <w:lang w:eastAsia="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C39F" w14:textId="77777777" w:rsidR="00D55EE3" w:rsidRPr="00107B88" w:rsidRDefault="00D55EE3" w:rsidP="00107B88">
    <w:pPr>
      <w:pStyle w:val="Textoindependiente"/>
      <w:spacing w:after="0"/>
      <w:ind w:left="357" w:firstLine="357"/>
      <w:jc w:val="right"/>
      <w:rPr>
        <w:rFonts w:ascii="Romana BT" w:eastAsia="Times New Roman" w:hAnsi="Romana BT" w:cs="Arial"/>
        <w:b/>
        <w:iCs/>
        <w:sz w:val="15"/>
        <w:szCs w:val="15"/>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13A98" w14:textId="77777777" w:rsidR="00FE540C" w:rsidRDefault="00FE540C" w:rsidP="00DB7283">
      <w:r>
        <w:separator/>
      </w:r>
    </w:p>
  </w:footnote>
  <w:footnote w:type="continuationSeparator" w:id="0">
    <w:p w14:paraId="019FAB35" w14:textId="77777777" w:rsidR="00FE540C" w:rsidRDefault="00FE540C" w:rsidP="00DB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004A0" w14:textId="77777777" w:rsidR="008E503F" w:rsidRDefault="008E503F" w:rsidP="008E503F">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54656" behindDoc="0" locked="0" layoutInCell="1" allowOverlap="1" wp14:anchorId="28A7A8C5" wp14:editId="43024CE2">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A694" w14:textId="77777777" w:rsidR="008E503F" w:rsidRDefault="008E503F" w:rsidP="008E503F">
                          <w:pPr>
                            <w:jc w:val="center"/>
                            <w:rPr>
                              <w:rFonts w:ascii="HelveticaNeueLT Std Lt" w:eastAsia="Kozuka Gothic Pro B" w:hAnsi="HelveticaNeueLT Std Lt"/>
                              <w:b/>
                            </w:rPr>
                          </w:pPr>
                          <w:r>
                            <w:rPr>
                              <w:rFonts w:ascii="HelveticaNeueLT Std Lt" w:eastAsia="Kozuka Gothic Pro B" w:hAnsi="HelveticaNeueLT Std Lt"/>
                              <w:b/>
                            </w:rPr>
                            <w:t>ÓRGANOS AUTÓNOMOS</w:t>
                          </w:r>
                        </w:p>
                        <w:p w14:paraId="018C8728" w14:textId="381013EA" w:rsidR="008E503F" w:rsidRDefault="008E503F" w:rsidP="008E503F">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w:t>
                          </w:r>
                          <w:r w:rsidR="006964C9">
                            <w:rPr>
                              <w:rFonts w:ascii="HelveticaNeueLT Std Lt" w:eastAsia="Kozuka Gothic Pro B" w:hAnsi="HelveticaNeueLT Std Lt"/>
                            </w:rPr>
                            <w:t>4</w:t>
                          </w:r>
                        </w:p>
                        <w:p w14:paraId="0729AF86" w14:textId="77777777" w:rsidR="008E503F" w:rsidRPr="00CB4010" w:rsidRDefault="008E503F" w:rsidP="008E503F">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7A8C5"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791DA694" w14:textId="77777777" w:rsidR="008E503F" w:rsidRDefault="008E503F" w:rsidP="008E503F">
                    <w:pPr>
                      <w:jc w:val="center"/>
                      <w:rPr>
                        <w:rFonts w:ascii="HelveticaNeueLT Std Lt" w:eastAsia="Kozuka Gothic Pro B" w:hAnsi="HelveticaNeueLT Std Lt"/>
                        <w:b/>
                      </w:rPr>
                    </w:pPr>
                    <w:r>
                      <w:rPr>
                        <w:rFonts w:ascii="HelveticaNeueLT Std Lt" w:eastAsia="Kozuka Gothic Pro B" w:hAnsi="HelveticaNeueLT Std Lt"/>
                        <w:b/>
                      </w:rPr>
                      <w:t>ÓRGANOS AUTÓNOMOS</w:t>
                    </w:r>
                  </w:p>
                  <w:p w14:paraId="018C8728" w14:textId="381013EA" w:rsidR="008E503F" w:rsidRDefault="008E503F" w:rsidP="008E503F">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w:t>
                    </w:r>
                    <w:r w:rsidR="006964C9">
                      <w:rPr>
                        <w:rFonts w:ascii="HelveticaNeueLT Std Lt" w:eastAsia="Kozuka Gothic Pro B" w:hAnsi="HelveticaNeueLT Std Lt"/>
                      </w:rPr>
                      <w:t>4</w:t>
                    </w:r>
                  </w:p>
                  <w:p w14:paraId="0729AF86" w14:textId="77777777" w:rsidR="008E503F" w:rsidRPr="00CB4010" w:rsidRDefault="008E503F" w:rsidP="008E503F">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56704" behindDoc="1" locked="0" layoutInCell="1" allowOverlap="1" wp14:anchorId="4A4C403C" wp14:editId="6A49183C">
          <wp:simplePos x="0" y="0"/>
          <wp:positionH relativeFrom="page">
            <wp:align>right</wp:align>
          </wp:positionH>
          <wp:positionV relativeFrom="paragraph">
            <wp:posOffset>-231140</wp:posOffset>
          </wp:positionV>
          <wp:extent cx="7772400" cy="466725"/>
          <wp:effectExtent l="0" t="0" r="0" b="9525"/>
          <wp:wrapNone/>
          <wp:docPr id="1346831864" name="Imagen 134683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265E5454" w14:textId="77777777" w:rsidR="008E503F" w:rsidRDefault="008E503F" w:rsidP="008E503F">
    <w:pPr>
      <w:pStyle w:val="Encabezado"/>
      <w:tabs>
        <w:tab w:val="left" w:pos="4860"/>
      </w:tabs>
      <w:ind w:right="846"/>
      <w:jc w:val="right"/>
      <w:rPr>
        <w:rFonts w:ascii="Romana BT" w:hAnsi="Romana BT"/>
        <w:b/>
        <w:sz w:val="16"/>
        <w:szCs w:val="16"/>
      </w:rPr>
    </w:pPr>
  </w:p>
  <w:p w14:paraId="0BD5EB11" w14:textId="77777777" w:rsidR="008E503F" w:rsidRPr="00BF6032" w:rsidRDefault="008E503F" w:rsidP="008E503F">
    <w:pPr>
      <w:pStyle w:val="Encabezado"/>
      <w:tabs>
        <w:tab w:val="left" w:pos="4860"/>
      </w:tabs>
      <w:ind w:right="846"/>
      <w:jc w:val="right"/>
      <w:rPr>
        <w:rFonts w:ascii="Romana BT" w:hAnsi="Romana BT"/>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4"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45216"/>
    <w:multiLevelType w:val="hybridMultilevel"/>
    <w:tmpl w:val="98905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4858B2"/>
    <w:multiLevelType w:val="hybridMultilevel"/>
    <w:tmpl w:val="DBC83B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2"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9"/>
  </w:num>
  <w:num w:numId="2">
    <w:abstractNumId w:val="20"/>
  </w:num>
  <w:num w:numId="3">
    <w:abstractNumId w:val="33"/>
  </w:num>
  <w:num w:numId="4">
    <w:abstractNumId w:val="2"/>
  </w:num>
  <w:num w:numId="5">
    <w:abstractNumId w:val="1"/>
  </w:num>
  <w:num w:numId="6">
    <w:abstractNumId w:val="15"/>
  </w:num>
  <w:num w:numId="7">
    <w:abstractNumId w:val="36"/>
  </w:num>
  <w:num w:numId="8">
    <w:abstractNumId w:val="31"/>
  </w:num>
  <w:num w:numId="9">
    <w:abstractNumId w:val="35"/>
  </w:num>
  <w:num w:numId="10">
    <w:abstractNumId w:val="24"/>
  </w:num>
  <w:num w:numId="11">
    <w:abstractNumId w:val="3"/>
  </w:num>
  <w:num w:numId="12">
    <w:abstractNumId w:val="22"/>
  </w:num>
  <w:num w:numId="13">
    <w:abstractNumId w:val="29"/>
  </w:num>
  <w:num w:numId="14">
    <w:abstractNumId w:val="4"/>
  </w:num>
  <w:num w:numId="15">
    <w:abstractNumId w:val="37"/>
  </w:num>
  <w:num w:numId="16">
    <w:abstractNumId w:val="13"/>
  </w:num>
  <w:num w:numId="17">
    <w:abstractNumId w:val="14"/>
  </w:num>
  <w:num w:numId="18">
    <w:abstractNumId w:val="6"/>
  </w:num>
  <w:num w:numId="19">
    <w:abstractNumId w:val="28"/>
  </w:num>
  <w:num w:numId="20">
    <w:abstractNumId w:val="5"/>
  </w:num>
  <w:num w:numId="21">
    <w:abstractNumId w:val="32"/>
  </w:num>
  <w:num w:numId="22">
    <w:abstractNumId w:val="17"/>
  </w:num>
  <w:num w:numId="23">
    <w:abstractNumId w:val="10"/>
  </w:num>
  <w:num w:numId="24">
    <w:abstractNumId w:val="12"/>
  </w:num>
  <w:num w:numId="25">
    <w:abstractNumId w:val="18"/>
  </w:num>
  <w:num w:numId="26">
    <w:abstractNumId w:val="30"/>
  </w:num>
  <w:num w:numId="27">
    <w:abstractNumId w:val="11"/>
  </w:num>
  <w:num w:numId="28">
    <w:abstractNumId w:val="26"/>
  </w:num>
  <w:num w:numId="29">
    <w:abstractNumId w:val="9"/>
  </w:num>
  <w:num w:numId="30">
    <w:abstractNumId w:val="2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1"/>
  </w:num>
  <w:num w:numId="34">
    <w:abstractNumId w:val="16"/>
  </w:num>
  <w:num w:numId="35">
    <w:abstractNumId w:val="8"/>
  </w:num>
  <w:num w:numId="36">
    <w:abstractNumId w:val="7"/>
  </w:num>
  <w:num w:numId="37">
    <w:abstractNumId w:val="34"/>
  </w:num>
  <w:num w:numId="38">
    <w:abstractNumId w:val="2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83"/>
    <w:rsid w:val="000116EA"/>
    <w:rsid w:val="0002371A"/>
    <w:rsid w:val="0003477B"/>
    <w:rsid w:val="000641E9"/>
    <w:rsid w:val="00064BB7"/>
    <w:rsid w:val="000703AF"/>
    <w:rsid w:val="00081178"/>
    <w:rsid w:val="00092746"/>
    <w:rsid w:val="00096CC7"/>
    <w:rsid w:val="000A1384"/>
    <w:rsid w:val="000A74A8"/>
    <w:rsid w:val="000A76ED"/>
    <w:rsid w:val="000B2064"/>
    <w:rsid w:val="000B25F3"/>
    <w:rsid w:val="000F6A35"/>
    <w:rsid w:val="000F7CEC"/>
    <w:rsid w:val="000F7E26"/>
    <w:rsid w:val="00101804"/>
    <w:rsid w:val="00107B88"/>
    <w:rsid w:val="00114860"/>
    <w:rsid w:val="00114869"/>
    <w:rsid w:val="00117763"/>
    <w:rsid w:val="001270B1"/>
    <w:rsid w:val="00134780"/>
    <w:rsid w:val="00154629"/>
    <w:rsid w:val="00162FA3"/>
    <w:rsid w:val="001A7C03"/>
    <w:rsid w:val="001F4F24"/>
    <w:rsid w:val="002000F9"/>
    <w:rsid w:val="00202E61"/>
    <w:rsid w:val="00205386"/>
    <w:rsid w:val="00233279"/>
    <w:rsid w:val="00254D17"/>
    <w:rsid w:val="00261F2C"/>
    <w:rsid w:val="00262FAF"/>
    <w:rsid w:val="0026489A"/>
    <w:rsid w:val="00275730"/>
    <w:rsid w:val="0029544E"/>
    <w:rsid w:val="002B110B"/>
    <w:rsid w:val="002E7DA2"/>
    <w:rsid w:val="002F2803"/>
    <w:rsid w:val="0030325F"/>
    <w:rsid w:val="00304035"/>
    <w:rsid w:val="00322F2C"/>
    <w:rsid w:val="00337BF5"/>
    <w:rsid w:val="003529EB"/>
    <w:rsid w:val="003565C0"/>
    <w:rsid w:val="00364949"/>
    <w:rsid w:val="00367B2D"/>
    <w:rsid w:val="00376047"/>
    <w:rsid w:val="00392D97"/>
    <w:rsid w:val="00392DAC"/>
    <w:rsid w:val="003A214A"/>
    <w:rsid w:val="003A57CD"/>
    <w:rsid w:val="003C5B2A"/>
    <w:rsid w:val="003C68AA"/>
    <w:rsid w:val="003C68AC"/>
    <w:rsid w:val="003D133A"/>
    <w:rsid w:val="004040E9"/>
    <w:rsid w:val="00422D8D"/>
    <w:rsid w:val="004256E3"/>
    <w:rsid w:val="00437D93"/>
    <w:rsid w:val="00437E34"/>
    <w:rsid w:val="00447573"/>
    <w:rsid w:val="00451589"/>
    <w:rsid w:val="00462987"/>
    <w:rsid w:val="00476126"/>
    <w:rsid w:val="00483520"/>
    <w:rsid w:val="00490F5F"/>
    <w:rsid w:val="004939BF"/>
    <w:rsid w:val="004A52F3"/>
    <w:rsid w:val="004A70CE"/>
    <w:rsid w:val="004B3FCD"/>
    <w:rsid w:val="004B73EB"/>
    <w:rsid w:val="004C0FE6"/>
    <w:rsid w:val="004C5DB5"/>
    <w:rsid w:val="004C6476"/>
    <w:rsid w:val="004D38E0"/>
    <w:rsid w:val="004E5939"/>
    <w:rsid w:val="0051734D"/>
    <w:rsid w:val="00546556"/>
    <w:rsid w:val="005532FA"/>
    <w:rsid w:val="00574D98"/>
    <w:rsid w:val="00584043"/>
    <w:rsid w:val="005A110D"/>
    <w:rsid w:val="005A69C6"/>
    <w:rsid w:val="005A6C0F"/>
    <w:rsid w:val="005B2131"/>
    <w:rsid w:val="005C384A"/>
    <w:rsid w:val="005C457C"/>
    <w:rsid w:val="005C5BCB"/>
    <w:rsid w:val="005E4664"/>
    <w:rsid w:val="005F735A"/>
    <w:rsid w:val="00600B2F"/>
    <w:rsid w:val="00605D8B"/>
    <w:rsid w:val="00613B8E"/>
    <w:rsid w:val="00621487"/>
    <w:rsid w:val="00621F09"/>
    <w:rsid w:val="00631165"/>
    <w:rsid w:val="00633D2F"/>
    <w:rsid w:val="00641F91"/>
    <w:rsid w:val="00651D27"/>
    <w:rsid w:val="006540EF"/>
    <w:rsid w:val="00656A57"/>
    <w:rsid w:val="006622E6"/>
    <w:rsid w:val="00667315"/>
    <w:rsid w:val="00670DEF"/>
    <w:rsid w:val="006813F9"/>
    <w:rsid w:val="00692DB2"/>
    <w:rsid w:val="00692DE8"/>
    <w:rsid w:val="006964C9"/>
    <w:rsid w:val="006B3427"/>
    <w:rsid w:val="006E2ED6"/>
    <w:rsid w:val="006F1F7B"/>
    <w:rsid w:val="007346C4"/>
    <w:rsid w:val="007354EB"/>
    <w:rsid w:val="00743299"/>
    <w:rsid w:val="00745DBA"/>
    <w:rsid w:val="0075780B"/>
    <w:rsid w:val="00774EEF"/>
    <w:rsid w:val="00776ED4"/>
    <w:rsid w:val="007955B7"/>
    <w:rsid w:val="007A05D8"/>
    <w:rsid w:val="007A4034"/>
    <w:rsid w:val="007A70D8"/>
    <w:rsid w:val="007B4F50"/>
    <w:rsid w:val="007B5D1B"/>
    <w:rsid w:val="007B77BF"/>
    <w:rsid w:val="0080132D"/>
    <w:rsid w:val="00805547"/>
    <w:rsid w:val="00811F0A"/>
    <w:rsid w:val="00812047"/>
    <w:rsid w:val="00815A0C"/>
    <w:rsid w:val="00816697"/>
    <w:rsid w:val="00821FB0"/>
    <w:rsid w:val="00826844"/>
    <w:rsid w:val="0083337A"/>
    <w:rsid w:val="008373A9"/>
    <w:rsid w:val="008442F5"/>
    <w:rsid w:val="008445B0"/>
    <w:rsid w:val="00854917"/>
    <w:rsid w:val="00876199"/>
    <w:rsid w:val="00882542"/>
    <w:rsid w:val="00885B5B"/>
    <w:rsid w:val="00893548"/>
    <w:rsid w:val="008A44F6"/>
    <w:rsid w:val="008B7353"/>
    <w:rsid w:val="008C2313"/>
    <w:rsid w:val="008D627A"/>
    <w:rsid w:val="008E503F"/>
    <w:rsid w:val="008F078C"/>
    <w:rsid w:val="008F236C"/>
    <w:rsid w:val="00901BE6"/>
    <w:rsid w:val="00911D72"/>
    <w:rsid w:val="00912D6B"/>
    <w:rsid w:val="009277ED"/>
    <w:rsid w:val="00955F93"/>
    <w:rsid w:val="0098187C"/>
    <w:rsid w:val="009828C2"/>
    <w:rsid w:val="009862D9"/>
    <w:rsid w:val="00987477"/>
    <w:rsid w:val="009926F0"/>
    <w:rsid w:val="00997DAC"/>
    <w:rsid w:val="009B3EA0"/>
    <w:rsid w:val="009C621A"/>
    <w:rsid w:val="009D1F35"/>
    <w:rsid w:val="009D40B2"/>
    <w:rsid w:val="009F0BCD"/>
    <w:rsid w:val="009F5A01"/>
    <w:rsid w:val="00A01F9B"/>
    <w:rsid w:val="00A0239D"/>
    <w:rsid w:val="00A066DB"/>
    <w:rsid w:val="00A12474"/>
    <w:rsid w:val="00A25DE4"/>
    <w:rsid w:val="00A34D89"/>
    <w:rsid w:val="00A37004"/>
    <w:rsid w:val="00A6592B"/>
    <w:rsid w:val="00A65C38"/>
    <w:rsid w:val="00A818A7"/>
    <w:rsid w:val="00A85213"/>
    <w:rsid w:val="00A96D2C"/>
    <w:rsid w:val="00AB5220"/>
    <w:rsid w:val="00AC29FE"/>
    <w:rsid w:val="00AC5CEA"/>
    <w:rsid w:val="00AC7A3D"/>
    <w:rsid w:val="00AC7BC5"/>
    <w:rsid w:val="00B370A0"/>
    <w:rsid w:val="00B4149F"/>
    <w:rsid w:val="00B43021"/>
    <w:rsid w:val="00B44BB4"/>
    <w:rsid w:val="00B461F7"/>
    <w:rsid w:val="00B7198D"/>
    <w:rsid w:val="00B93B45"/>
    <w:rsid w:val="00B9422F"/>
    <w:rsid w:val="00BA34E5"/>
    <w:rsid w:val="00BC2BA9"/>
    <w:rsid w:val="00BD3C3B"/>
    <w:rsid w:val="00BE3F72"/>
    <w:rsid w:val="00C069B4"/>
    <w:rsid w:val="00C17F66"/>
    <w:rsid w:val="00C24089"/>
    <w:rsid w:val="00C25F2C"/>
    <w:rsid w:val="00C33DD4"/>
    <w:rsid w:val="00C51808"/>
    <w:rsid w:val="00C52BB7"/>
    <w:rsid w:val="00C6467C"/>
    <w:rsid w:val="00C709AC"/>
    <w:rsid w:val="00C727A4"/>
    <w:rsid w:val="00C801FF"/>
    <w:rsid w:val="00C82E6B"/>
    <w:rsid w:val="00C90EBB"/>
    <w:rsid w:val="00C9299F"/>
    <w:rsid w:val="00CB6FB1"/>
    <w:rsid w:val="00CC17C5"/>
    <w:rsid w:val="00CC5F2C"/>
    <w:rsid w:val="00CE3686"/>
    <w:rsid w:val="00CF1219"/>
    <w:rsid w:val="00D00A55"/>
    <w:rsid w:val="00D063F8"/>
    <w:rsid w:val="00D10BDC"/>
    <w:rsid w:val="00D159CF"/>
    <w:rsid w:val="00D1733F"/>
    <w:rsid w:val="00D21C3D"/>
    <w:rsid w:val="00D30900"/>
    <w:rsid w:val="00D31EAC"/>
    <w:rsid w:val="00D32B48"/>
    <w:rsid w:val="00D370F3"/>
    <w:rsid w:val="00D37425"/>
    <w:rsid w:val="00D459E3"/>
    <w:rsid w:val="00D5010B"/>
    <w:rsid w:val="00D55EE3"/>
    <w:rsid w:val="00D60005"/>
    <w:rsid w:val="00D60D97"/>
    <w:rsid w:val="00D74FEC"/>
    <w:rsid w:val="00D95208"/>
    <w:rsid w:val="00DA2FCE"/>
    <w:rsid w:val="00DA6135"/>
    <w:rsid w:val="00DB33E0"/>
    <w:rsid w:val="00DB38BA"/>
    <w:rsid w:val="00DB7283"/>
    <w:rsid w:val="00DE234D"/>
    <w:rsid w:val="00DE7223"/>
    <w:rsid w:val="00DF2A2E"/>
    <w:rsid w:val="00DF74D3"/>
    <w:rsid w:val="00E0318D"/>
    <w:rsid w:val="00E113B5"/>
    <w:rsid w:val="00E24F39"/>
    <w:rsid w:val="00E260B0"/>
    <w:rsid w:val="00E31AE3"/>
    <w:rsid w:val="00E41383"/>
    <w:rsid w:val="00E45AE1"/>
    <w:rsid w:val="00E468F4"/>
    <w:rsid w:val="00E501C0"/>
    <w:rsid w:val="00E54BF6"/>
    <w:rsid w:val="00E76A7D"/>
    <w:rsid w:val="00E814FC"/>
    <w:rsid w:val="00E900EF"/>
    <w:rsid w:val="00EA109D"/>
    <w:rsid w:val="00EC6607"/>
    <w:rsid w:val="00EC6F35"/>
    <w:rsid w:val="00EE1A85"/>
    <w:rsid w:val="00EE7FBF"/>
    <w:rsid w:val="00F12BBF"/>
    <w:rsid w:val="00F16034"/>
    <w:rsid w:val="00F40C69"/>
    <w:rsid w:val="00F51011"/>
    <w:rsid w:val="00F55119"/>
    <w:rsid w:val="00F61ADE"/>
    <w:rsid w:val="00F63A08"/>
    <w:rsid w:val="00F662F2"/>
    <w:rsid w:val="00F813DC"/>
    <w:rsid w:val="00F818CD"/>
    <w:rsid w:val="00F83C55"/>
    <w:rsid w:val="00FC22E9"/>
    <w:rsid w:val="00FC6C71"/>
    <w:rsid w:val="00FD003F"/>
    <w:rsid w:val="00FD5F23"/>
    <w:rsid w:val="00FE3E0C"/>
    <w:rsid w:val="00FE54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7F78A4"/>
  <w15:docId w15:val="{9C6AD77C-0314-474C-A01C-5BBC5096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0A55"/>
    <w:pPr>
      <w:spacing w:after="0" w:line="240" w:lineRule="auto"/>
    </w:pPr>
    <w:rPr>
      <w:rFonts w:ascii="Arial" w:hAnsi="Arial"/>
      <w:sz w:val="20"/>
    </w:rPr>
  </w:style>
  <w:style w:type="paragraph" w:styleId="Ttulo1">
    <w:name w:val="heading 1"/>
    <w:basedOn w:val="Normal"/>
    <w:next w:val="Normal"/>
    <w:link w:val="Ttulo1Car"/>
    <w:autoRedefine/>
    <w:qFormat/>
    <w:rsid w:val="008445B0"/>
    <w:pPr>
      <w:keepNext/>
      <w:keepLines/>
      <w:jc w:val="both"/>
      <w:outlineLvl w:val="0"/>
    </w:pPr>
    <w:rPr>
      <w:rFonts w:eastAsiaTheme="majorEastAsia" w:cstheme="majorBidi"/>
      <w:b/>
      <w:color w:val="9D2F2E" w:themeColor="accent2"/>
      <w:sz w:val="28"/>
      <w:szCs w:val="32"/>
      <w:lang w:eastAsia="es-MX"/>
    </w:rPr>
  </w:style>
  <w:style w:type="paragraph" w:styleId="Ttulo2">
    <w:name w:val="heading 2"/>
    <w:basedOn w:val="Normal"/>
    <w:next w:val="Normal"/>
    <w:link w:val="Ttulo2Car"/>
    <w:autoRedefine/>
    <w:uiPriority w:val="9"/>
    <w:qFormat/>
    <w:rsid w:val="00D159CF"/>
    <w:pPr>
      <w:keepNext/>
      <w:keepLines/>
      <w:jc w:val="center"/>
      <w:outlineLvl w:val="1"/>
    </w:pPr>
    <w:rPr>
      <w:rFonts w:eastAsiaTheme="majorEastAsia" w:cs="Arial"/>
      <w:b/>
      <w:i/>
      <w:sz w:val="28"/>
      <w:szCs w:val="26"/>
      <w:lang w:eastAsia="es-MX"/>
    </w:rPr>
  </w:style>
  <w:style w:type="paragraph" w:styleId="Ttulo3">
    <w:name w:val="heading 3"/>
    <w:basedOn w:val="Normal"/>
    <w:next w:val="Normal"/>
    <w:link w:val="Ttulo3Car"/>
    <w:qFormat/>
    <w:rsid w:val="00A818A7"/>
    <w:pPr>
      <w:keepNext/>
      <w:spacing w:before="240" w:after="60"/>
      <w:outlineLvl w:val="2"/>
    </w:pPr>
    <w:rPr>
      <w:rFonts w:eastAsia="Times New Roman" w:cs="Times New Roman"/>
      <w:b/>
      <w:bCs/>
      <w:sz w:val="26"/>
      <w:szCs w:val="26"/>
      <w:lang w:val="es-ES" w:eastAsia="es-ES"/>
    </w:rPr>
  </w:style>
  <w:style w:type="paragraph" w:styleId="Ttulo4">
    <w:name w:val="heading 4"/>
    <w:basedOn w:val="Normal"/>
    <w:next w:val="Normal"/>
    <w:link w:val="Ttulo4Car"/>
    <w:qFormat/>
    <w:rsid w:val="00A818A7"/>
    <w:pPr>
      <w:keepNext/>
      <w:ind w:left="3402" w:hanging="3402"/>
      <w:jc w:val="center"/>
      <w:outlineLvl w:val="3"/>
    </w:pPr>
    <w:rPr>
      <w:rFonts w:eastAsia="Times New Roman" w:cs="Times New Roman"/>
      <w:i/>
      <w:sz w:val="24"/>
      <w:szCs w:val="24"/>
      <w:lang w:val="es-ES" w:eastAsia="es-ES"/>
    </w:rPr>
  </w:style>
  <w:style w:type="paragraph" w:styleId="Ttulo5">
    <w:name w:val="heading 5"/>
    <w:basedOn w:val="Normal"/>
    <w:next w:val="Normal"/>
    <w:link w:val="Ttulo5Car"/>
    <w:qFormat/>
    <w:rsid w:val="00A818A7"/>
    <w:pPr>
      <w:keepNext/>
      <w:widowControl w:val="0"/>
      <w:jc w:val="center"/>
      <w:outlineLvl w:val="4"/>
    </w:pPr>
    <w:rPr>
      <w:rFonts w:eastAsia="Times New Roman" w:cs="Times New Roman"/>
      <w:i/>
      <w:sz w:val="24"/>
      <w:szCs w:val="20"/>
      <w:lang w:val="es-ES" w:eastAsia="es-ES"/>
    </w:rPr>
  </w:style>
  <w:style w:type="paragraph" w:styleId="Ttulo6">
    <w:name w:val="heading 6"/>
    <w:basedOn w:val="Normal"/>
    <w:next w:val="Normal"/>
    <w:link w:val="Ttulo6Car"/>
    <w:qFormat/>
    <w:rsid w:val="00A818A7"/>
    <w:pPr>
      <w:keepNext/>
      <w:jc w:val="center"/>
      <w:outlineLvl w:val="5"/>
    </w:pPr>
    <w:rPr>
      <w:rFonts w:eastAsia="Times New Roman" w:cs="Times New Roman"/>
      <w:b/>
      <w:color w:val="000080"/>
      <w:sz w:val="24"/>
      <w:szCs w:val="24"/>
      <w:u w:val="single"/>
      <w:lang w:val="es-ES" w:eastAsia="es-ES"/>
    </w:rPr>
  </w:style>
  <w:style w:type="paragraph" w:styleId="Ttulo7">
    <w:name w:val="heading 7"/>
    <w:basedOn w:val="Normal"/>
    <w:next w:val="Normal"/>
    <w:link w:val="Ttulo7Car"/>
    <w:qFormat/>
    <w:rsid w:val="00A818A7"/>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A818A7"/>
    <w:pPr>
      <w:keepNext/>
      <w:outlineLvl w:val="7"/>
    </w:pPr>
    <w:rPr>
      <w:rFonts w:eastAsia="Times New Roman" w:cs="Times New Roman"/>
      <w:b/>
      <w:szCs w:val="24"/>
      <w:lang w:val="es-ES" w:eastAsia="es-ES"/>
    </w:rPr>
  </w:style>
  <w:style w:type="paragraph" w:styleId="Ttulo9">
    <w:name w:val="heading 9"/>
    <w:basedOn w:val="Normal"/>
    <w:next w:val="Normal"/>
    <w:link w:val="Ttulo9Car"/>
    <w:qFormat/>
    <w:rsid w:val="00A818A7"/>
    <w:pPr>
      <w:spacing w:before="240" w:after="60"/>
      <w:outlineLvl w:val="8"/>
    </w:pPr>
    <w:rPr>
      <w:rFonts w:eastAsia="Times New Roman"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752305" w:themeColor="accent6" w:themeShade="BF"/>
    </w:rPr>
    <w:tblPr>
      <w:tblStyleRowBandSize w:val="1"/>
      <w:tblStyleColBandSize w:val="1"/>
      <w:tblBorders>
        <w:top w:val="single" w:sz="8" w:space="0" w:color="9D2F07" w:themeColor="accent6"/>
        <w:bottom w:val="single" w:sz="8" w:space="0" w:color="9D2F07" w:themeColor="accent6"/>
      </w:tblBorders>
    </w:tblPr>
    <w:tblStylePr w:type="fir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la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hemeFill="accent6" w:themeFillTint="3F"/>
      </w:tcPr>
    </w:tblStylePr>
    <w:tblStylePr w:type="band1Horz">
      <w:tblPr/>
      <w:tcPr>
        <w:tcBorders>
          <w:left w:val="nil"/>
          <w:right w:val="nil"/>
          <w:insideH w:val="nil"/>
          <w:insideV w:val="nil"/>
        </w:tcBorders>
        <w:shd w:val="clear" w:color="auto" w:fill="FBC1A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955F93"/>
    <w:pPr>
      <w:tabs>
        <w:tab w:val="left" w:pos="720"/>
      </w:tabs>
      <w:spacing w:after="101" w:line="216" w:lineRule="exact"/>
      <w:ind w:left="720" w:hanging="432"/>
      <w:jc w:val="both"/>
    </w:pPr>
    <w:rPr>
      <w:rFonts w:eastAsia="Calibri" w:cs="Arial"/>
      <w:sz w:val="18"/>
      <w:szCs w:val="18"/>
    </w:rPr>
  </w:style>
  <w:style w:type="character" w:customStyle="1" w:styleId="ROMANOSCar">
    <w:name w:val="ROMANOS Car"/>
    <w:link w:val="ROMANOS"/>
    <w:locked/>
    <w:rsid w:val="00955F93"/>
    <w:rPr>
      <w:rFonts w:ascii="Arial" w:eastAsia="Calibri" w:hAnsi="Arial" w:cs="Arial"/>
      <w:sz w:val="18"/>
      <w:szCs w:val="18"/>
    </w:rPr>
  </w:style>
  <w:style w:type="character" w:customStyle="1" w:styleId="Ttulo1Car">
    <w:name w:val="Título 1 Car"/>
    <w:basedOn w:val="Fuentedeprrafopredeter"/>
    <w:link w:val="Ttulo1"/>
    <w:rsid w:val="008445B0"/>
    <w:rPr>
      <w:rFonts w:ascii="Arial" w:eastAsiaTheme="majorEastAsia" w:hAnsi="Arial" w:cstheme="majorBidi"/>
      <w:b/>
      <w:color w:val="9D2F2E" w:themeColor="accent2"/>
      <w:sz w:val="28"/>
      <w:szCs w:val="32"/>
      <w:lang w:eastAsia="es-MX"/>
    </w:rPr>
  </w:style>
  <w:style w:type="character" w:customStyle="1" w:styleId="Ttulo2Car">
    <w:name w:val="Título 2 Car"/>
    <w:basedOn w:val="Fuentedeprrafopredeter"/>
    <w:link w:val="Ttulo2"/>
    <w:uiPriority w:val="9"/>
    <w:rsid w:val="00D159CF"/>
    <w:rPr>
      <w:rFonts w:ascii="Arial" w:eastAsiaTheme="majorEastAsia" w:hAnsi="Arial" w:cs="Arial"/>
      <w:b/>
      <w:i/>
      <w:sz w:val="28"/>
      <w:szCs w:val="26"/>
      <w:lang w:eastAsia="es-MX"/>
    </w:rPr>
  </w:style>
  <w:style w:type="character" w:customStyle="1" w:styleId="Ttulo3Car">
    <w:name w:val="Título 3 Car"/>
    <w:basedOn w:val="Fuentedeprrafopredeter"/>
    <w:link w:val="Ttulo3"/>
    <w:rsid w:val="00A818A7"/>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A818A7"/>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A818A7"/>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A818A7"/>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A818A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818A7"/>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A818A7"/>
    <w:rPr>
      <w:rFonts w:ascii="Arial" w:eastAsia="Times New Roman" w:hAnsi="Arial" w:cs="Arial"/>
      <w:lang w:val="es-ES" w:eastAsia="es-ES"/>
    </w:rPr>
  </w:style>
  <w:style w:type="paragraph" w:styleId="Sinespaciado">
    <w:name w:val="No Spacing"/>
    <w:link w:val="SinespaciadoCar"/>
    <w:uiPriority w:val="1"/>
    <w:qFormat/>
    <w:rsid w:val="00A818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18A7"/>
    <w:rPr>
      <w:rFonts w:ascii="Calibri" w:eastAsia="Calibri" w:hAnsi="Calibri" w:cs="Times New Roman"/>
    </w:rPr>
  </w:style>
  <w:style w:type="character" w:customStyle="1" w:styleId="fontstyle01">
    <w:name w:val="fontstyle01"/>
    <w:basedOn w:val="Fuentedeprrafopredeter"/>
    <w:rsid w:val="00A818A7"/>
    <w:rPr>
      <w:rFonts w:ascii="Arial" w:hAnsi="Arial" w:cs="Arial" w:hint="default"/>
      <w:b w:val="0"/>
      <w:bCs w:val="0"/>
      <w:i w:val="0"/>
      <w:iCs w:val="0"/>
      <w:color w:val="000000"/>
      <w:sz w:val="20"/>
      <w:szCs w:val="20"/>
    </w:rPr>
  </w:style>
  <w:style w:type="paragraph" w:customStyle="1" w:styleId="bullet">
    <w:name w:val="bullet"/>
    <w:basedOn w:val="Normal"/>
    <w:uiPriority w:val="99"/>
    <w:rsid w:val="00A818A7"/>
    <w:pPr>
      <w:widowControl w:val="0"/>
      <w:spacing w:before="240"/>
      <w:ind w:left="1276" w:right="1185" w:hanging="273"/>
      <w:jc w:val="both"/>
    </w:pPr>
    <w:rPr>
      <w:rFonts w:eastAsia="Times New Roman" w:cs="Arial"/>
      <w:b/>
      <w:bCs/>
      <w:color w:val="000080"/>
      <w:lang w:val="es-ES_tradnl" w:eastAsia="es-ES"/>
    </w:rPr>
  </w:style>
  <w:style w:type="character" w:customStyle="1" w:styleId="A1">
    <w:name w:val="A1"/>
    <w:uiPriority w:val="99"/>
    <w:rsid w:val="00A818A7"/>
    <w:rPr>
      <w:rFonts w:cs="Gotham"/>
      <w:color w:val="000000"/>
      <w:sz w:val="20"/>
      <w:szCs w:val="20"/>
    </w:rPr>
  </w:style>
  <w:style w:type="paragraph" w:customStyle="1" w:styleId="verdedos">
    <w:name w:val="verdedos"/>
    <w:basedOn w:val="Normal"/>
    <w:rsid w:val="00A818A7"/>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A818A7"/>
    <w:pPr>
      <w:spacing w:line="240" w:lineRule="exact"/>
      <w:jc w:val="right"/>
    </w:pPr>
    <w:rPr>
      <w:rFonts w:ascii="Verdana" w:eastAsia="Times New Roman" w:hAnsi="Verdana" w:cs="Arial"/>
      <w:szCs w:val="21"/>
    </w:rPr>
  </w:style>
  <w:style w:type="paragraph" w:customStyle="1" w:styleId="CarCarCarCarCarCarCarCarCarCar">
    <w:name w:val="Car Car Car Car Car Car Car Car Car Car"/>
    <w:basedOn w:val="Normal"/>
    <w:next w:val="Normal"/>
    <w:rsid w:val="00A818A7"/>
    <w:pPr>
      <w:widowControl w:val="0"/>
      <w:tabs>
        <w:tab w:val="num" w:pos="1440"/>
      </w:tabs>
      <w:adjustRightInd w:val="0"/>
      <w:spacing w:before="80" w:after="80"/>
      <w:jc w:val="both"/>
      <w:textAlignment w:val="baseline"/>
    </w:pPr>
    <w:rPr>
      <w:rFonts w:eastAsia="Times New Roman" w:cs="Arial"/>
      <w:sz w:val="28"/>
      <w:szCs w:val="28"/>
      <w:lang w:val="es-ES_tradnl" w:eastAsia="es-ES"/>
    </w:rPr>
  </w:style>
  <w:style w:type="paragraph" w:styleId="Descripcin">
    <w:name w:val="caption"/>
    <w:basedOn w:val="Normal"/>
    <w:next w:val="Normal"/>
    <w:qFormat/>
    <w:rsid w:val="00A818A7"/>
    <w:rPr>
      <w:rFonts w:eastAsia="Times New Roman" w:cs="Times New Roman"/>
      <w:b/>
      <w:szCs w:val="24"/>
      <w:lang w:val="es-ES" w:eastAsia="es-ES"/>
    </w:rPr>
  </w:style>
  <w:style w:type="paragraph" w:customStyle="1" w:styleId="Prrafodelista1">
    <w:name w:val="Párrafo de lista1"/>
    <w:basedOn w:val="Normal"/>
    <w:rsid w:val="00A818A7"/>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A818A7"/>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E260B0"/>
    <w:pPr>
      <w:jc w:val="center"/>
    </w:pPr>
    <w:rPr>
      <w:rFonts w:eastAsia="Times New Roman" w:cs="Arial"/>
      <w:b/>
      <w:bCs/>
      <w:sz w:val="24"/>
      <w:szCs w:val="24"/>
      <w:lang w:val="es-ES" w:eastAsia="es-ES"/>
    </w:rPr>
  </w:style>
  <w:style w:type="character" w:customStyle="1" w:styleId="SubttuloCar">
    <w:name w:val="Subtítulo Car"/>
    <w:basedOn w:val="Fuentedeprrafopredeter"/>
    <w:link w:val="Subttulo"/>
    <w:rsid w:val="00E260B0"/>
    <w:rPr>
      <w:rFonts w:ascii="Arial" w:eastAsia="Times New Roman" w:hAnsi="Arial" w:cs="Arial"/>
      <w:b/>
      <w:bCs/>
      <w:sz w:val="24"/>
      <w:szCs w:val="24"/>
      <w:lang w:val="es-ES" w:eastAsia="es-ES"/>
    </w:rPr>
  </w:style>
  <w:style w:type="paragraph" w:styleId="Textocomentario">
    <w:name w:val="annotation text"/>
    <w:basedOn w:val="Normal"/>
    <w:link w:val="TextocomentarioCar"/>
    <w:uiPriority w:val="99"/>
    <w:rsid w:val="00A818A7"/>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A818A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A818A7"/>
    <w:rPr>
      <w:b/>
      <w:bCs/>
    </w:rPr>
  </w:style>
  <w:style w:type="character" w:customStyle="1" w:styleId="AsuntodelcomentarioCar">
    <w:name w:val="Asunto del comentario Car"/>
    <w:basedOn w:val="TextocomentarioCar"/>
    <w:link w:val="Asuntodelcomentario"/>
    <w:uiPriority w:val="99"/>
    <w:rsid w:val="00A818A7"/>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A818A7"/>
    <w:pPr>
      <w:suppressAutoHyphens/>
      <w:spacing w:after="0"/>
      <w:jc w:val="both"/>
    </w:pPr>
    <w:rPr>
      <w:rFonts w:eastAsia="Times New Roman" w:cs="Times New Roman"/>
      <w:sz w:val="24"/>
      <w:szCs w:val="20"/>
      <w:lang w:val="es-ES" w:eastAsia="es-ES"/>
    </w:rPr>
  </w:style>
  <w:style w:type="paragraph" w:customStyle="1" w:styleId="4">
    <w:name w:val="4"/>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customStyle="1" w:styleId="3">
    <w:name w:val="3"/>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styleId="Textosinformato">
    <w:name w:val="Plain Text"/>
    <w:basedOn w:val="Normal"/>
    <w:link w:val="TextosinformatoCar"/>
    <w:rsid w:val="00A818A7"/>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A818A7"/>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A818A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A818A7"/>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A818A7"/>
    <w:pPr>
      <w:widowControl w:val="0"/>
      <w:tabs>
        <w:tab w:val="left" w:pos="426"/>
      </w:tabs>
      <w:jc w:val="both"/>
    </w:pPr>
    <w:rPr>
      <w:rFonts w:eastAsia="Times New Roman" w:cs="Times New Roman"/>
      <w:b/>
      <w:snapToGrid w:val="0"/>
      <w:sz w:val="24"/>
      <w:szCs w:val="20"/>
      <w:lang w:val="es-ES_tradnl" w:eastAsia="es-ES"/>
    </w:rPr>
  </w:style>
  <w:style w:type="paragraph" w:customStyle="1" w:styleId="xl22">
    <w:name w:val="xl22"/>
    <w:basedOn w:val="Normal"/>
    <w:rsid w:val="00A818A7"/>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A818A7"/>
    <w:pPr>
      <w:ind w:left="3240" w:hanging="3240"/>
    </w:pPr>
    <w:rPr>
      <w:rFonts w:eastAsia="Times New Roman" w:cs="Times New Roman"/>
      <w:b/>
      <w:szCs w:val="24"/>
      <w:lang w:val="es-ES" w:eastAsia="es-ES"/>
    </w:rPr>
  </w:style>
  <w:style w:type="character" w:customStyle="1" w:styleId="Sangra3detindependienteCar">
    <w:name w:val="Sangría 3 de t. independiente Car"/>
    <w:basedOn w:val="Fuentedeprrafopredeter"/>
    <w:link w:val="Sangra3detindependiente"/>
    <w:rsid w:val="00A818A7"/>
    <w:rPr>
      <w:rFonts w:ascii="Arial" w:eastAsia="Times New Roman" w:hAnsi="Arial" w:cs="Times New Roman"/>
      <w:b/>
      <w:sz w:val="20"/>
      <w:szCs w:val="24"/>
      <w:lang w:val="es-ES" w:eastAsia="es-ES"/>
    </w:rPr>
  </w:style>
  <w:style w:type="character" w:customStyle="1" w:styleId="FooterChar">
    <w:name w:val="Footer Char"/>
    <w:locked/>
    <w:rsid w:val="00A818A7"/>
    <w:rPr>
      <w:rFonts w:ascii="Times New Roman" w:hAnsi="Times New Roman" w:cs="Times New Roman"/>
      <w:sz w:val="24"/>
      <w:szCs w:val="24"/>
      <w:lang w:val="x-none" w:eastAsia="es-ES"/>
    </w:rPr>
  </w:style>
  <w:style w:type="character" w:customStyle="1" w:styleId="Heading2Char">
    <w:name w:val="Heading 2 Char"/>
    <w:locked/>
    <w:rsid w:val="00A818A7"/>
    <w:rPr>
      <w:rFonts w:ascii="Arial" w:hAnsi="Arial" w:cs="Arial"/>
      <w:b/>
      <w:bCs/>
      <w:i/>
      <w:iCs/>
      <w:sz w:val="28"/>
      <w:szCs w:val="28"/>
      <w:lang w:val="x-none" w:eastAsia="es-ES"/>
    </w:rPr>
  </w:style>
  <w:style w:type="character" w:customStyle="1" w:styleId="Heading8Char">
    <w:name w:val="Heading 8 Char"/>
    <w:locked/>
    <w:rsid w:val="00A818A7"/>
    <w:rPr>
      <w:rFonts w:ascii="Times New Roman" w:hAnsi="Times New Roman" w:cs="Times New Roman"/>
      <w:i/>
      <w:iCs/>
      <w:sz w:val="24"/>
      <w:szCs w:val="24"/>
      <w:lang w:val="x-none" w:eastAsia="es-ES"/>
    </w:rPr>
  </w:style>
  <w:style w:type="character" w:customStyle="1" w:styleId="A10">
    <w:name w:val="A10"/>
    <w:rsid w:val="00A818A7"/>
    <w:rPr>
      <w:rFonts w:cs="Fedra Serif A Pro Book"/>
      <w:color w:val="000000"/>
      <w:sz w:val="20"/>
      <w:szCs w:val="20"/>
    </w:rPr>
  </w:style>
  <w:style w:type="character" w:customStyle="1" w:styleId="TextonotaalfinalCar">
    <w:name w:val="Texto nota al final Car"/>
    <w:link w:val="Textonotaalfinal"/>
    <w:uiPriority w:val="99"/>
    <w:rsid w:val="00A818A7"/>
    <w:rPr>
      <w:lang w:val="es-ES" w:eastAsia="es-ES"/>
    </w:rPr>
  </w:style>
  <w:style w:type="paragraph" w:styleId="Textonotaalfinal">
    <w:name w:val="endnote text"/>
    <w:basedOn w:val="Normal"/>
    <w:link w:val="TextonotaalfinalCar"/>
    <w:uiPriority w:val="99"/>
    <w:unhideWhenUsed/>
    <w:rsid w:val="00A818A7"/>
    <w:rPr>
      <w:lang w:val="es-ES" w:eastAsia="es-ES"/>
    </w:rPr>
  </w:style>
  <w:style w:type="character" w:customStyle="1" w:styleId="TextonotaalfinalCar1">
    <w:name w:val="Texto nota al final Car1"/>
    <w:basedOn w:val="Fuentedeprrafopredeter"/>
    <w:rsid w:val="00A818A7"/>
    <w:rPr>
      <w:sz w:val="20"/>
      <w:szCs w:val="20"/>
    </w:rPr>
  </w:style>
  <w:style w:type="paragraph" w:customStyle="1" w:styleId="ecxmsonormal">
    <w:name w:val="ecxmsonormal"/>
    <w:basedOn w:val="Normal"/>
    <w:rsid w:val="00A818A7"/>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A818A7"/>
    <w:pPr>
      <w:spacing w:before="100" w:beforeAutospacing="1" w:after="100" w:afterAutospacing="1"/>
      <w:jc w:val="center"/>
    </w:pPr>
    <w:rPr>
      <w:rFonts w:eastAsia="Arial Unicode MS" w:cs="Arial"/>
      <w:b/>
      <w:bCs/>
      <w:sz w:val="24"/>
      <w:szCs w:val="24"/>
      <w:lang w:val="es-ES" w:eastAsia="es-ES"/>
    </w:rPr>
  </w:style>
  <w:style w:type="paragraph" w:styleId="Textodebloque">
    <w:name w:val="Block Text"/>
    <w:basedOn w:val="Normal"/>
    <w:rsid w:val="00A818A7"/>
    <w:pPr>
      <w:ind w:left="482" w:right="1701"/>
      <w:jc w:val="both"/>
    </w:pPr>
    <w:rPr>
      <w:rFonts w:ascii="Bimini" w:eastAsia="Times New Roman" w:hAnsi="Bimini" w:cs="Arial"/>
      <w:sz w:val="32"/>
      <w:szCs w:val="32"/>
      <w:lang w:val="es-ES" w:eastAsia="es-ES"/>
    </w:rPr>
  </w:style>
  <w:style w:type="character" w:customStyle="1" w:styleId="CarCar16">
    <w:name w:val="Car Car16"/>
    <w:rsid w:val="00A818A7"/>
    <w:rPr>
      <w:snapToGrid w:val="0"/>
      <w:sz w:val="24"/>
      <w:lang w:eastAsia="es-ES"/>
    </w:rPr>
  </w:style>
  <w:style w:type="character" w:customStyle="1" w:styleId="CarCar15">
    <w:name w:val="Car Car15"/>
    <w:rsid w:val="00A818A7"/>
    <w:rPr>
      <w:rFonts w:ascii="Tahoma" w:hAnsi="Tahoma" w:cs="Tahoma"/>
      <w:b/>
      <w:i/>
      <w:sz w:val="22"/>
      <w:lang w:val="es-ES" w:eastAsia="es-ES"/>
    </w:rPr>
  </w:style>
  <w:style w:type="character" w:customStyle="1" w:styleId="CarCar13">
    <w:name w:val="Car Car13"/>
    <w:rsid w:val="00A818A7"/>
    <w:rPr>
      <w:rFonts w:ascii="Tahoma" w:hAnsi="Tahoma" w:cs="Tahoma"/>
      <w:b/>
      <w:sz w:val="21"/>
      <w:lang w:val="es-ES" w:eastAsia="es-ES"/>
    </w:rPr>
  </w:style>
  <w:style w:type="character" w:customStyle="1" w:styleId="CarCar12">
    <w:name w:val="Car Car12"/>
    <w:rsid w:val="00A818A7"/>
    <w:rPr>
      <w:b/>
      <w:bCs/>
      <w:sz w:val="22"/>
      <w:szCs w:val="22"/>
      <w:lang w:val="es-ES" w:eastAsia="es-ES"/>
    </w:rPr>
  </w:style>
  <w:style w:type="character" w:customStyle="1" w:styleId="CarCar11">
    <w:name w:val="Car Car11"/>
    <w:rsid w:val="00A818A7"/>
    <w:rPr>
      <w:rFonts w:ascii="Tahoma" w:hAnsi="Tahoma" w:cs="Tahoma"/>
      <w:b/>
      <w:lang w:val="es-ES" w:eastAsia="es-ES"/>
    </w:rPr>
  </w:style>
  <w:style w:type="character" w:customStyle="1" w:styleId="CarCar10">
    <w:name w:val="Car Car10"/>
    <w:rsid w:val="00A818A7"/>
    <w:rPr>
      <w:rFonts w:ascii="Tahoma" w:hAnsi="Tahoma" w:cs="Tahoma"/>
      <w:b/>
      <w:sz w:val="19"/>
      <w:lang w:val="es-ES" w:eastAsia="es-ES"/>
    </w:rPr>
  </w:style>
  <w:style w:type="character" w:customStyle="1" w:styleId="CarCar9">
    <w:name w:val="Car Car9"/>
    <w:rsid w:val="00A818A7"/>
    <w:rPr>
      <w:rFonts w:ascii="Arial" w:hAnsi="Arial" w:cs="Arial"/>
      <w:sz w:val="22"/>
      <w:szCs w:val="22"/>
      <w:lang w:val="es-ES" w:eastAsia="es-ES"/>
    </w:rPr>
  </w:style>
  <w:style w:type="character" w:customStyle="1" w:styleId="CarCar8">
    <w:name w:val="Car Car8"/>
    <w:rsid w:val="00A818A7"/>
    <w:rPr>
      <w:rFonts w:ascii="Tahoma" w:hAnsi="Tahoma" w:cs="Tahoma"/>
      <w:sz w:val="16"/>
      <w:szCs w:val="16"/>
      <w:lang w:val="es-ES" w:eastAsia="es-ES"/>
    </w:rPr>
  </w:style>
  <w:style w:type="character" w:customStyle="1" w:styleId="CarCar5">
    <w:name w:val="Car Car5"/>
    <w:rsid w:val="00A818A7"/>
    <w:rPr>
      <w:sz w:val="16"/>
      <w:szCs w:val="16"/>
      <w:lang w:val="es-ES" w:eastAsia="es-ES"/>
    </w:rPr>
  </w:style>
  <w:style w:type="paragraph" w:customStyle="1" w:styleId="LLamadas">
    <w:name w:val="LLamadas"/>
    <w:basedOn w:val="Normal"/>
    <w:rsid w:val="00A818A7"/>
    <w:pPr>
      <w:spacing w:before="120"/>
      <w:jc w:val="both"/>
    </w:pPr>
    <w:rPr>
      <w:rFonts w:eastAsia="Times New Roman" w:cs="Times New Roman"/>
      <w:sz w:val="16"/>
      <w:szCs w:val="20"/>
      <w:lang w:val="es-ES_tradnl" w:eastAsia="es-ES"/>
    </w:rPr>
  </w:style>
  <w:style w:type="paragraph" w:styleId="Ttulo">
    <w:name w:val="Title"/>
    <w:basedOn w:val="Normal"/>
    <w:link w:val="TtuloCar"/>
    <w:qFormat/>
    <w:rsid w:val="00A818A7"/>
    <w:pPr>
      <w:widowControl w:val="0"/>
      <w:jc w:val="center"/>
    </w:pPr>
    <w:rPr>
      <w:rFonts w:ascii="Times New Roman" w:eastAsia="Times New Roman" w:hAnsi="Times New Roman" w:cs="Times New Roman"/>
      <w:b/>
      <w:snapToGrid w:val="0"/>
      <w:sz w:val="24"/>
      <w:szCs w:val="20"/>
      <w:lang w:eastAsia="es-ES"/>
    </w:rPr>
  </w:style>
  <w:style w:type="character" w:customStyle="1" w:styleId="TtuloCar">
    <w:name w:val="Título Car"/>
    <w:basedOn w:val="Fuentedeprrafopredeter"/>
    <w:link w:val="Ttulo"/>
    <w:rsid w:val="00A818A7"/>
    <w:rPr>
      <w:rFonts w:ascii="Times New Roman" w:eastAsia="Times New Roman" w:hAnsi="Times New Roman" w:cs="Times New Roman"/>
      <w:b/>
      <w:snapToGrid w:val="0"/>
      <w:sz w:val="24"/>
      <w:szCs w:val="20"/>
      <w:lang w:eastAsia="es-ES"/>
    </w:rPr>
  </w:style>
  <w:style w:type="character" w:customStyle="1" w:styleId="CarCar4">
    <w:name w:val="Car Car4"/>
    <w:rsid w:val="00A818A7"/>
    <w:rPr>
      <w:b/>
      <w:snapToGrid w:val="0"/>
      <w:sz w:val="24"/>
      <w:lang w:eastAsia="es-ES"/>
    </w:rPr>
  </w:style>
  <w:style w:type="character" w:customStyle="1" w:styleId="CarCar3">
    <w:name w:val="Car Car3"/>
    <w:rsid w:val="00A818A7"/>
    <w:rPr>
      <w:rFonts w:ascii="Arial" w:hAnsi="Arial"/>
      <w:b/>
      <w:color w:val="000080"/>
      <w:sz w:val="22"/>
      <w:lang w:val="es-ES" w:eastAsia="es-ES"/>
    </w:rPr>
  </w:style>
  <w:style w:type="paragraph" w:customStyle="1" w:styleId="P-TEXTOS">
    <w:name w:val="P-TEXTOS"/>
    <w:rsid w:val="00A818A7"/>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A818A7"/>
    <w:pPr>
      <w:spacing w:line="360" w:lineRule="auto"/>
      <w:ind w:firstLine="708"/>
      <w:jc w:val="both"/>
    </w:pPr>
    <w:rPr>
      <w:rFonts w:eastAsia="Times New Roman" w:cs="Arial"/>
      <w:sz w:val="24"/>
      <w:szCs w:val="24"/>
      <w:lang w:eastAsia="es-ES"/>
    </w:rPr>
  </w:style>
  <w:style w:type="character" w:customStyle="1" w:styleId="CarCar2">
    <w:name w:val="Car Car2"/>
    <w:rsid w:val="00A818A7"/>
    <w:rPr>
      <w:lang w:val="es-ES" w:eastAsia="es-ES"/>
    </w:rPr>
  </w:style>
  <w:style w:type="character" w:customStyle="1" w:styleId="CarCar1">
    <w:name w:val="Car Car1"/>
    <w:rsid w:val="00A818A7"/>
    <w:rPr>
      <w:sz w:val="24"/>
      <w:szCs w:val="24"/>
      <w:lang w:val="es-ES" w:eastAsia="es-ES"/>
    </w:rPr>
  </w:style>
  <w:style w:type="paragraph" w:customStyle="1" w:styleId="xl25">
    <w:name w:val="xl25"/>
    <w:basedOn w:val="Normal"/>
    <w:rsid w:val="00A818A7"/>
    <w:pPr>
      <w:spacing w:before="100" w:after="100"/>
      <w:jc w:val="both"/>
      <w:textAlignment w:val="center"/>
    </w:pPr>
    <w:rPr>
      <w:rFonts w:eastAsia="Times New Roman" w:cs="Times New Roman"/>
      <w:sz w:val="16"/>
      <w:szCs w:val="20"/>
      <w:lang w:val="es-ES" w:eastAsia="es-ES"/>
    </w:rPr>
  </w:style>
  <w:style w:type="paragraph" w:customStyle="1" w:styleId="xl26">
    <w:name w:val="xl26"/>
    <w:basedOn w:val="Normal"/>
    <w:rsid w:val="00A818A7"/>
    <w:pPr>
      <w:spacing w:before="100" w:after="100"/>
      <w:jc w:val="both"/>
      <w:textAlignment w:val="center"/>
    </w:pPr>
    <w:rPr>
      <w:rFonts w:eastAsia="Times New Roman" w:cs="Times New Roman"/>
      <w:sz w:val="18"/>
      <w:szCs w:val="20"/>
      <w:lang w:val="es-ES" w:eastAsia="es-ES"/>
    </w:rPr>
  </w:style>
  <w:style w:type="paragraph" w:styleId="Mapadeldocumento">
    <w:name w:val="Document Map"/>
    <w:basedOn w:val="Normal"/>
    <w:link w:val="MapadeldocumentoCar"/>
    <w:rsid w:val="00A818A7"/>
    <w:pPr>
      <w:shd w:val="clear" w:color="auto" w:fill="000080"/>
    </w:pPr>
    <w:rPr>
      <w:rFonts w:ascii="Tahoma" w:eastAsia="Times New Roman" w:hAnsi="Tahoma" w:cs="Tahoma"/>
      <w:szCs w:val="20"/>
      <w:lang w:val="es-ES" w:eastAsia="es-ES"/>
    </w:rPr>
  </w:style>
  <w:style w:type="character" w:customStyle="1" w:styleId="MapadeldocumentoCar">
    <w:name w:val="Mapa del documento Car"/>
    <w:basedOn w:val="Fuentedeprrafopredeter"/>
    <w:link w:val="Mapadeldocumento"/>
    <w:rsid w:val="00A818A7"/>
    <w:rPr>
      <w:rFonts w:ascii="Tahoma" w:eastAsia="Times New Roman" w:hAnsi="Tahoma" w:cs="Tahoma"/>
      <w:sz w:val="20"/>
      <w:szCs w:val="20"/>
      <w:shd w:val="clear" w:color="auto" w:fill="000080"/>
      <w:lang w:val="es-ES" w:eastAsia="es-ES"/>
    </w:rPr>
  </w:style>
  <w:style w:type="character" w:customStyle="1" w:styleId="CarCar">
    <w:name w:val="Car Car"/>
    <w:rsid w:val="00A818A7"/>
    <w:rPr>
      <w:rFonts w:ascii="Tahoma" w:hAnsi="Tahoma" w:cs="Tahoma"/>
      <w:shd w:val="clear" w:color="auto" w:fill="000080"/>
      <w:lang w:val="es-ES" w:eastAsia="es-ES"/>
    </w:rPr>
  </w:style>
  <w:style w:type="character" w:customStyle="1" w:styleId="CarCar6">
    <w:name w:val="Car Car6"/>
    <w:rsid w:val="00A818A7"/>
    <w:rPr>
      <w:sz w:val="24"/>
      <w:szCs w:val="24"/>
      <w:lang w:val="es-MX" w:eastAsia="es-ES" w:bidi="ar-SA"/>
    </w:rPr>
  </w:style>
  <w:style w:type="character" w:customStyle="1" w:styleId="CarCar7">
    <w:name w:val="Car Car7"/>
    <w:rsid w:val="00A818A7"/>
    <w:rPr>
      <w:rFonts w:ascii="Arial" w:hAnsi="Arial" w:cs="Arial"/>
      <w:sz w:val="22"/>
      <w:szCs w:val="22"/>
      <w:lang w:val="es-ES" w:eastAsia="es-ES" w:bidi="ar-SA"/>
    </w:rPr>
  </w:style>
  <w:style w:type="character" w:styleId="Hipervnculo">
    <w:name w:val="Hyperlink"/>
    <w:rsid w:val="00A818A7"/>
    <w:rPr>
      <w:color w:val="0000FF"/>
      <w:u w:val="single"/>
    </w:rPr>
  </w:style>
  <w:style w:type="character" w:styleId="Hipervnculovisitado">
    <w:name w:val="FollowedHyperlink"/>
    <w:rsid w:val="00A818A7"/>
    <w:rPr>
      <w:color w:val="800080"/>
      <w:u w:val="single"/>
    </w:rPr>
  </w:style>
  <w:style w:type="character" w:styleId="Nmerodelnea">
    <w:name w:val="line number"/>
    <w:rsid w:val="00A818A7"/>
  </w:style>
  <w:style w:type="character" w:customStyle="1" w:styleId="apple-style-span">
    <w:name w:val="apple-style-span"/>
    <w:rsid w:val="00A818A7"/>
    <w:rPr>
      <w:rFonts w:cs="Times New Roman"/>
    </w:rPr>
  </w:style>
  <w:style w:type="paragraph" w:customStyle="1" w:styleId="Texto">
    <w:name w:val="Texto"/>
    <w:basedOn w:val="Normal"/>
    <w:rsid w:val="00A818A7"/>
    <w:pPr>
      <w:spacing w:after="101" w:line="216" w:lineRule="exact"/>
      <w:ind w:firstLine="288"/>
      <w:jc w:val="both"/>
    </w:pPr>
    <w:rPr>
      <w:rFonts w:eastAsia="Times New Roman" w:cs="Arial"/>
      <w:sz w:val="18"/>
      <w:szCs w:val="18"/>
      <w:lang w:eastAsia="es-MX"/>
    </w:rPr>
  </w:style>
  <w:style w:type="character" w:customStyle="1" w:styleId="A5">
    <w:name w:val="A5"/>
    <w:rsid w:val="00A818A7"/>
    <w:rPr>
      <w:rFonts w:ascii="Fedra Serif A Pro Book" w:hAnsi="Fedra Serif A Pro Book"/>
      <w:color w:val="57585A"/>
      <w:sz w:val="20"/>
    </w:rPr>
  </w:style>
  <w:style w:type="character" w:customStyle="1" w:styleId="A2">
    <w:name w:val="A2"/>
    <w:rsid w:val="00A818A7"/>
    <w:rPr>
      <w:color w:val="000000"/>
      <w:sz w:val="20"/>
    </w:rPr>
  </w:style>
  <w:style w:type="character" w:customStyle="1" w:styleId="A11">
    <w:name w:val="A1+1"/>
    <w:uiPriority w:val="99"/>
    <w:rsid w:val="00A818A7"/>
    <w:rPr>
      <w:rFonts w:cs="HelveticaNeueLT Std Lt Cn"/>
      <w:color w:val="000000"/>
      <w:sz w:val="22"/>
      <w:szCs w:val="22"/>
    </w:rPr>
  </w:style>
  <w:style w:type="paragraph" w:customStyle="1" w:styleId="Pa21">
    <w:name w:val="Pa2+1"/>
    <w:basedOn w:val="Default"/>
    <w:next w:val="Default"/>
    <w:uiPriority w:val="99"/>
    <w:rsid w:val="00A818A7"/>
    <w:pPr>
      <w:spacing w:line="221" w:lineRule="atLeast"/>
    </w:pPr>
    <w:rPr>
      <w:rFonts w:ascii="Gotham" w:eastAsiaTheme="minorHAnsi" w:hAnsi="Gotham" w:cstheme="minorBidi"/>
      <w:color w:val="auto"/>
      <w:lang w:eastAsia="en-US"/>
    </w:rPr>
  </w:style>
  <w:style w:type="character" w:customStyle="1" w:styleId="A31">
    <w:name w:val="A3+1"/>
    <w:uiPriority w:val="99"/>
    <w:rsid w:val="00A818A7"/>
    <w:rPr>
      <w:rFonts w:cs="Gotham"/>
      <w:color w:val="000000"/>
      <w:sz w:val="20"/>
      <w:szCs w:val="20"/>
    </w:rPr>
  </w:style>
  <w:style w:type="paragraph" w:customStyle="1" w:styleId="Pa91">
    <w:name w:val="Pa9+1"/>
    <w:basedOn w:val="Default"/>
    <w:next w:val="Default"/>
    <w:uiPriority w:val="99"/>
    <w:rsid w:val="00A818A7"/>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A818A7"/>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A818A7"/>
    <w:rPr>
      <w:b/>
      <w:bCs/>
      <w:i/>
      <w:iCs/>
      <w:color w:val="B09A5B" w:themeColor="accent1"/>
    </w:rPr>
  </w:style>
  <w:style w:type="paragraph" w:customStyle="1" w:styleId="Pa3">
    <w:name w:val="Pa3"/>
    <w:basedOn w:val="Normal"/>
    <w:next w:val="Normal"/>
    <w:uiPriority w:val="99"/>
    <w:rsid w:val="00A818A7"/>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A818A7"/>
    <w:rPr>
      <w:rFonts w:cs="Gotham Light"/>
      <w:color w:val="000000"/>
      <w:sz w:val="20"/>
      <w:szCs w:val="20"/>
    </w:rPr>
  </w:style>
  <w:style w:type="character" w:styleId="Textoennegrita">
    <w:name w:val="Strong"/>
    <w:basedOn w:val="Fuentedeprrafopredeter"/>
    <w:uiPriority w:val="22"/>
    <w:qFormat/>
    <w:rsid w:val="00A818A7"/>
    <w:rPr>
      <w:b/>
      <w:bCs/>
    </w:rPr>
  </w:style>
  <w:style w:type="character" w:customStyle="1" w:styleId="st">
    <w:name w:val="st"/>
    <w:basedOn w:val="Fuentedeprrafopredeter"/>
    <w:rsid w:val="00A818A7"/>
  </w:style>
  <w:style w:type="paragraph" w:customStyle="1" w:styleId="Estilo1">
    <w:name w:val="Estilo1"/>
    <w:basedOn w:val="Normal"/>
    <w:rsid w:val="00A818A7"/>
    <w:pPr>
      <w:pBdr>
        <w:bottom w:val="single" w:sz="4" w:space="1" w:color="C0C0C0"/>
      </w:pBdr>
      <w:autoSpaceDE w:val="0"/>
      <w:autoSpaceDN w:val="0"/>
      <w:adjustRightInd w:val="0"/>
      <w:outlineLvl w:val="0"/>
    </w:pPr>
    <w:rPr>
      <w:rFonts w:eastAsia="Times New Roman" w:cs="Arial"/>
      <w:b/>
      <w:iCs/>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953050616">
      <w:bodyDiv w:val="1"/>
      <w:marLeft w:val="0"/>
      <w:marRight w:val="0"/>
      <w:marTop w:val="0"/>
      <w:marBottom w:val="0"/>
      <w:divBdr>
        <w:top w:val="none" w:sz="0" w:space="0" w:color="auto"/>
        <w:left w:val="none" w:sz="0" w:space="0" w:color="auto"/>
        <w:bottom w:val="none" w:sz="0" w:space="0" w:color="auto"/>
        <w:right w:val="none" w:sz="0" w:space="0" w:color="auto"/>
      </w:divBdr>
      <w:divsChild>
        <w:div w:id="2049525267">
          <w:marLeft w:val="0"/>
          <w:marRight w:val="0"/>
          <w:marTop w:val="0"/>
          <w:marBottom w:val="0"/>
          <w:divBdr>
            <w:top w:val="none" w:sz="0" w:space="0" w:color="auto"/>
            <w:left w:val="none" w:sz="0" w:space="0" w:color="auto"/>
            <w:bottom w:val="none" w:sz="0" w:space="0" w:color="auto"/>
            <w:right w:val="none" w:sz="0" w:space="0" w:color="auto"/>
          </w:divBdr>
        </w:div>
        <w:div w:id="1415201970">
          <w:marLeft w:val="0"/>
          <w:marRight w:val="0"/>
          <w:marTop w:val="0"/>
          <w:marBottom w:val="0"/>
          <w:divBdr>
            <w:top w:val="none" w:sz="0" w:space="0" w:color="auto"/>
            <w:left w:val="none" w:sz="0" w:space="0" w:color="auto"/>
            <w:bottom w:val="none" w:sz="0" w:space="0" w:color="auto"/>
            <w:right w:val="none" w:sz="0" w:space="0" w:color="auto"/>
          </w:divBdr>
        </w:div>
        <w:div w:id="208807037">
          <w:marLeft w:val="0"/>
          <w:marRight w:val="0"/>
          <w:marTop w:val="0"/>
          <w:marBottom w:val="0"/>
          <w:divBdr>
            <w:top w:val="none" w:sz="0" w:space="0" w:color="auto"/>
            <w:left w:val="none" w:sz="0" w:space="0" w:color="auto"/>
            <w:bottom w:val="none" w:sz="0" w:space="0" w:color="auto"/>
            <w:right w:val="none" w:sz="0" w:space="0" w:color="auto"/>
          </w:divBdr>
        </w:div>
        <w:div w:id="1524829603">
          <w:marLeft w:val="0"/>
          <w:marRight w:val="0"/>
          <w:marTop w:val="0"/>
          <w:marBottom w:val="0"/>
          <w:divBdr>
            <w:top w:val="none" w:sz="0" w:space="0" w:color="auto"/>
            <w:left w:val="none" w:sz="0" w:space="0" w:color="auto"/>
            <w:bottom w:val="none" w:sz="0" w:space="0" w:color="auto"/>
            <w:right w:val="none" w:sz="0" w:space="0" w:color="auto"/>
          </w:divBdr>
        </w:div>
        <w:div w:id="902719816">
          <w:marLeft w:val="0"/>
          <w:marRight w:val="0"/>
          <w:marTop w:val="0"/>
          <w:marBottom w:val="0"/>
          <w:divBdr>
            <w:top w:val="none" w:sz="0" w:space="0" w:color="auto"/>
            <w:left w:val="none" w:sz="0" w:space="0" w:color="auto"/>
            <w:bottom w:val="none" w:sz="0" w:space="0" w:color="auto"/>
            <w:right w:val="none" w:sz="0" w:space="0" w:color="auto"/>
          </w:divBdr>
        </w:div>
        <w:div w:id="554659100">
          <w:marLeft w:val="0"/>
          <w:marRight w:val="0"/>
          <w:marTop w:val="0"/>
          <w:marBottom w:val="0"/>
          <w:divBdr>
            <w:top w:val="none" w:sz="0" w:space="0" w:color="auto"/>
            <w:left w:val="none" w:sz="0" w:space="0" w:color="auto"/>
            <w:bottom w:val="none" w:sz="0" w:space="0" w:color="auto"/>
            <w:right w:val="none" w:sz="0" w:space="0" w:color="auto"/>
          </w:divBdr>
        </w:div>
        <w:div w:id="1919630648">
          <w:marLeft w:val="0"/>
          <w:marRight w:val="0"/>
          <w:marTop w:val="0"/>
          <w:marBottom w:val="0"/>
          <w:divBdr>
            <w:top w:val="none" w:sz="0" w:space="0" w:color="auto"/>
            <w:left w:val="none" w:sz="0" w:space="0" w:color="auto"/>
            <w:bottom w:val="none" w:sz="0" w:space="0" w:color="auto"/>
            <w:right w:val="none" w:sz="0" w:space="0" w:color="auto"/>
          </w:divBdr>
        </w:div>
      </w:divsChild>
    </w:div>
    <w:div w:id="1272207520">
      <w:bodyDiv w:val="1"/>
      <w:marLeft w:val="0"/>
      <w:marRight w:val="0"/>
      <w:marTop w:val="0"/>
      <w:marBottom w:val="0"/>
      <w:divBdr>
        <w:top w:val="none" w:sz="0" w:space="0" w:color="auto"/>
        <w:left w:val="none" w:sz="0" w:space="0" w:color="auto"/>
        <w:bottom w:val="none" w:sz="0" w:space="0" w:color="auto"/>
        <w:right w:val="none" w:sz="0" w:space="0" w:color="auto"/>
      </w:divBdr>
      <w:divsChild>
        <w:div w:id="449010091">
          <w:marLeft w:val="0"/>
          <w:marRight w:val="0"/>
          <w:marTop w:val="0"/>
          <w:marBottom w:val="0"/>
          <w:divBdr>
            <w:top w:val="none" w:sz="0" w:space="0" w:color="auto"/>
            <w:left w:val="none" w:sz="0" w:space="0" w:color="auto"/>
            <w:bottom w:val="none" w:sz="0" w:space="0" w:color="auto"/>
            <w:right w:val="none" w:sz="0" w:space="0" w:color="auto"/>
          </w:divBdr>
        </w:div>
        <w:div w:id="156387775">
          <w:marLeft w:val="0"/>
          <w:marRight w:val="0"/>
          <w:marTop w:val="0"/>
          <w:marBottom w:val="0"/>
          <w:divBdr>
            <w:top w:val="none" w:sz="0" w:space="0" w:color="auto"/>
            <w:left w:val="none" w:sz="0" w:space="0" w:color="auto"/>
            <w:bottom w:val="none" w:sz="0" w:space="0" w:color="auto"/>
            <w:right w:val="none" w:sz="0" w:space="0" w:color="auto"/>
          </w:divBdr>
        </w:div>
      </w:divsChild>
    </w:div>
    <w:div w:id="1292711736">
      <w:bodyDiv w:val="1"/>
      <w:marLeft w:val="0"/>
      <w:marRight w:val="0"/>
      <w:marTop w:val="0"/>
      <w:marBottom w:val="0"/>
      <w:divBdr>
        <w:top w:val="none" w:sz="0" w:space="0" w:color="auto"/>
        <w:left w:val="none" w:sz="0" w:space="0" w:color="auto"/>
        <w:bottom w:val="none" w:sz="0" w:space="0" w:color="auto"/>
        <w:right w:val="none" w:sz="0" w:space="0" w:color="auto"/>
      </w:divBdr>
      <w:divsChild>
        <w:div w:id="240139059">
          <w:marLeft w:val="0"/>
          <w:marRight w:val="0"/>
          <w:marTop w:val="0"/>
          <w:marBottom w:val="0"/>
          <w:divBdr>
            <w:top w:val="none" w:sz="0" w:space="0" w:color="auto"/>
            <w:left w:val="none" w:sz="0" w:space="0" w:color="auto"/>
            <w:bottom w:val="none" w:sz="0" w:space="0" w:color="auto"/>
            <w:right w:val="none" w:sz="0" w:space="0" w:color="auto"/>
          </w:divBdr>
        </w:div>
        <w:div w:id="505169702">
          <w:marLeft w:val="0"/>
          <w:marRight w:val="0"/>
          <w:marTop w:val="0"/>
          <w:marBottom w:val="0"/>
          <w:divBdr>
            <w:top w:val="none" w:sz="0" w:space="0" w:color="auto"/>
            <w:left w:val="none" w:sz="0" w:space="0" w:color="auto"/>
            <w:bottom w:val="none" w:sz="0" w:space="0" w:color="auto"/>
            <w:right w:val="none" w:sz="0" w:space="0" w:color="auto"/>
          </w:divBdr>
        </w:div>
        <w:div w:id="649673441">
          <w:marLeft w:val="0"/>
          <w:marRight w:val="0"/>
          <w:marTop w:val="0"/>
          <w:marBottom w:val="0"/>
          <w:divBdr>
            <w:top w:val="none" w:sz="0" w:space="0" w:color="auto"/>
            <w:left w:val="none" w:sz="0" w:space="0" w:color="auto"/>
            <w:bottom w:val="none" w:sz="0" w:space="0" w:color="auto"/>
            <w:right w:val="none" w:sz="0" w:space="0" w:color="auto"/>
          </w:divBdr>
        </w:div>
        <w:div w:id="1685745193">
          <w:marLeft w:val="0"/>
          <w:marRight w:val="0"/>
          <w:marTop w:val="0"/>
          <w:marBottom w:val="0"/>
          <w:divBdr>
            <w:top w:val="none" w:sz="0" w:space="0" w:color="auto"/>
            <w:left w:val="none" w:sz="0" w:space="0" w:color="auto"/>
            <w:bottom w:val="none" w:sz="0" w:space="0" w:color="auto"/>
            <w:right w:val="none" w:sz="0" w:space="0" w:color="auto"/>
          </w:divBdr>
        </w:div>
      </w:divsChild>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png"/><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theme" Target="theme/theme1.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s>
</file>

<file path=word/_rels/header1.xml.rels><?xml version="1.0" encoding="UTF-8" standalone="yes"?>
<Relationships xmlns="http://schemas.openxmlformats.org/package/2006/relationships"><Relationship Id="rId1" Type="http://schemas.openxmlformats.org/officeDocument/2006/relationships/image" Target="media/image46.pn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21132"/>
      </a:dk2>
      <a:lt2>
        <a:srgbClr val="EEECE1"/>
      </a:lt2>
      <a:accent1>
        <a:srgbClr val="B09A5B"/>
      </a:accent1>
      <a:accent2>
        <a:srgbClr val="9D2F2E"/>
      </a:accent2>
      <a:accent3>
        <a:srgbClr val="C0504D"/>
      </a:accent3>
      <a:accent4>
        <a:srgbClr val="621132"/>
      </a:accent4>
      <a:accent5>
        <a:srgbClr val="8A7742"/>
      </a:accent5>
      <a:accent6>
        <a:srgbClr val="9D2F07"/>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48CFD-3957-4D5C-9E59-9A7D62F5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3820</Words>
  <Characters>21014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Ale Hernandez Gutierrez</cp:lastModifiedBy>
  <cp:revision>2</cp:revision>
  <cp:lastPrinted>2024-06-11T17:52:00Z</cp:lastPrinted>
  <dcterms:created xsi:type="dcterms:W3CDTF">2024-06-11T17:53:00Z</dcterms:created>
  <dcterms:modified xsi:type="dcterms:W3CDTF">2024-06-11T17:53:00Z</dcterms:modified>
</cp:coreProperties>
</file>