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6BBD" w14:textId="77777777" w:rsidR="00EC262D" w:rsidRPr="00EC262D" w:rsidRDefault="00EC262D" w:rsidP="00EC262D">
      <w:pPr>
        <w:autoSpaceDE w:val="0"/>
        <w:autoSpaceDN w:val="0"/>
        <w:adjustRightInd w:val="0"/>
        <w:jc w:val="center"/>
        <w:rPr>
          <w:rFonts w:cs="Arial"/>
          <w:b/>
          <w:color w:val="9E213D" w:themeColor="accent2"/>
          <w:sz w:val="28"/>
          <w:szCs w:val="28"/>
        </w:rPr>
      </w:pPr>
      <w:r w:rsidRPr="00EC262D">
        <w:rPr>
          <w:rFonts w:cs="Arial"/>
          <w:b/>
          <w:color w:val="9E213D" w:themeColor="accent2"/>
          <w:sz w:val="28"/>
          <w:szCs w:val="28"/>
        </w:rPr>
        <w:t>Notas a los estados financieros consolidados</w:t>
      </w:r>
    </w:p>
    <w:p w14:paraId="5AC61E61" w14:textId="77777777" w:rsidR="00EC262D" w:rsidRPr="00EC262D" w:rsidRDefault="00EC262D" w:rsidP="00EC262D">
      <w:pPr>
        <w:jc w:val="center"/>
        <w:rPr>
          <w:rFonts w:cs="Arial"/>
          <w:color w:val="9E213D" w:themeColor="accent2"/>
          <w:sz w:val="24"/>
          <w:szCs w:val="24"/>
          <w:lang w:eastAsia="es-ES"/>
        </w:rPr>
      </w:pPr>
      <w:r w:rsidRPr="00EC262D">
        <w:rPr>
          <w:rFonts w:cs="Arial"/>
          <w:color w:val="9E213D" w:themeColor="accent2"/>
          <w:sz w:val="24"/>
          <w:szCs w:val="24"/>
          <w:lang w:eastAsia="es-ES"/>
        </w:rPr>
        <w:t>DEL 1 DE ENERO AL 31 DE MARZO DE 2024</w:t>
      </w:r>
    </w:p>
    <w:p w14:paraId="7D885E94" w14:textId="77777777" w:rsidR="00EC262D" w:rsidRPr="00EC262D" w:rsidRDefault="00EC262D" w:rsidP="00EC262D">
      <w:pPr>
        <w:jc w:val="center"/>
        <w:rPr>
          <w:rFonts w:cs="Arial"/>
          <w:color w:val="9E213D" w:themeColor="accent2"/>
          <w:sz w:val="24"/>
          <w:szCs w:val="24"/>
          <w:lang w:eastAsia="es-ES"/>
        </w:rPr>
      </w:pPr>
      <w:r w:rsidRPr="00EC262D">
        <w:rPr>
          <w:rFonts w:cs="Arial"/>
          <w:color w:val="9E213D" w:themeColor="accent2"/>
          <w:sz w:val="24"/>
          <w:szCs w:val="24"/>
          <w:lang w:eastAsia="es-ES"/>
        </w:rPr>
        <w:t>(Cifras en pesos)</w:t>
      </w:r>
    </w:p>
    <w:p w14:paraId="73A150D1" w14:textId="77777777" w:rsidR="00EC262D" w:rsidRPr="00EC262D" w:rsidRDefault="00EC262D" w:rsidP="00EC262D">
      <w:pPr>
        <w:jc w:val="both"/>
        <w:outlineLvl w:val="0"/>
        <w:rPr>
          <w:rFonts w:cs="Arial"/>
          <w:szCs w:val="20"/>
        </w:rPr>
      </w:pPr>
      <w:bookmarkStart w:id="0" w:name="_Hlk117854077"/>
    </w:p>
    <w:bookmarkEnd w:id="0"/>
    <w:p w14:paraId="0EA66847" w14:textId="77777777" w:rsidR="00EC262D" w:rsidRPr="00EC262D" w:rsidRDefault="00EC262D" w:rsidP="00EC262D">
      <w:pPr>
        <w:jc w:val="both"/>
        <w:rPr>
          <w:rFonts w:eastAsia="Calibri" w:cs="Times New Roman"/>
          <w:b/>
          <w:sz w:val="22"/>
        </w:rPr>
      </w:pPr>
      <w:r w:rsidRPr="00EC262D">
        <w:rPr>
          <w:rFonts w:eastAsia="Calibri" w:cs="Times New Roman"/>
          <w:b/>
          <w:sz w:val="24"/>
        </w:rPr>
        <w:t>Introducción</w:t>
      </w:r>
    </w:p>
    <w:p w14:paraId="20FB1322" w14:textId="77777777" w:rsidR="00EC262D" w:rsidRPr="00EC262D" w:rsidRDefault="00EC262D" w:rsidP="00EC262D">
      <w:pPr>
        <w:jc w:val="both"/>
        <w:rPr>
          <w:rFonts w:eastAsia="Calibri" w:cs="Times New Roman"/>
          <w:b/>
        </w:rPr>
      </w:pPr>
    </w:p>
    <w:p w14:paraId="5B19C0B0" w14:textId="77777777" w:rsidR="00EC262D" w:rsidRPr="00EC262D" w:rsidRDefault="00EC262D" w:rsidP="00EC262D">
      <w:pPr>
        <w:jc w:val="both"/>
        <w:rPr>
          <w:bCs/>
        </w:rPr>
      </w:pPr>
      <w:r w:rsidRPr="00EC262D">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31 de marzo de 2024, con los siguientes apartados:</w:t>
      </w:r>
    </w:p>
    <w:p w14:paraId="060208C4" w14:textId="77777777" w:rsidR="00EC262D" w:rsidRPr="00EC262D" w:rsidRDefault="00EC262D" w:rsidP="00EC262D">
      <w:pPr>
        <w:jc w:val="both"/>
        <w:rPr>
          <w:bCs/>
        </w:rPr>
      </w:pPr>
    </w:p>
    <w:p w14:paraId="1716FF1A" w14:textId="77777777" w:rsidR="00EC262D" w:rsidRPr="00EC262D" w:rsidRDefault="00EC262D" w:rsidP="00EC262D">
      <w:pPr>
        <w:numPr>
          <w:ilvl w:val="0"/>
          <w:numId w:val="20"/>
        </w:numPr>
        <w:spacing w:after="120"/>
        <w:ind w:left="357" w:hanging="357"/>
        <w:jc w:val="both"/>
        <w:rPr>
          <w:rFonts w:eastAsia="Times New Roman" w:cs="Arial"/>
          <w:bCs/>
          <w:caps/>
          <w:szCs w:val="20"/>
          <w:lang w:eastAsia="es-MX"/>
        </w:rPr>
      </w:pPr>
      <w:r w:rsidRPr="00EC262D">
        <w:rPr>
          <w:rFonts w:eastAsia="Times New Roman" w:cs="Arial"/>
          <w:bCs/>
          <w:szCs w:val="20"/>
          <w:lang w:eastAsia="es-MX"/>
        </w:rPr>
        <w:t>Notas de gestión administrativa</w:t>
      </w:r>
    </w:p>
    <w:p w14:paraId="68454F40" w14:textId="77777777" w:rsidR="00EC262D" w:rsidRPr="00EC262D" w:rsidRDefault="00EC262D" w:rsidP="00EC262D">
      <w:pPr>
        <w:numPr>
          <w:ilvl w:val="0"/>
          <w:numId w:val="20"/>
        </w:numPr>
        <w:spacing w:after="120"/>
        <w:ind w:left="357" w:hanging="357"/>
        <w:jc w:val="both"/>
        <w:rPr>
          <w:rFonts w:eastAsia="Times New Roman" w:cs="Arial"/>
          <w:bCs/>
          <w:caps/>
          <w:szCs w:val="20"/>
          <w:lang w:eastAsia="es-MX"/>
        </w:rPr>
      </w:pPr>
      <w:r w:rsidRPr="00EC262D">
        <w:rPr>
          <w:rFonts w:eastAsia="Times New Roman" w:cs="Arial"/>
          <w:bCs/>
          <w:szCs w:val="20"/>
          <w:lang w:eastAsia="es-MX"/>
        </w:rPr>
        <w:t>Notas de desglose, y</w:t>
      </w:r>
    </w:p>
    <w:p w14:paraId="45FE3D0A" w14:textId="77777777" w:rsidR="00EC262D" w:rsidRPr="00EC262D" w:rsidRDefault="00EC262D" w:rsidP="00EC262D">
      <w:pPr>
        <w:numPr>
          <w:ilvl w:val="0"/>
          <w:numId w:val="20"/>
        </w:numPr>
        <w:spacing w:after="120"/>
        <w:ind w:left="357" w:hanging="357"/>
        <w:jc w:val="both"/>
        <w:rPr>
          <w:rFonts w:eastAsia="Times New Roman" w:cs="Arial"/>
          <w:bCs/>
          <w:caps/>
          <w:szCs w:val="20"/>
          <w:lang w:eastAsia="es-MX"/>
        </w:rPr>
      </w:pPr>
      <w:r w:rsidRPr="00EC262D">
        <w:rPr>
          <w:rFonts w:eastAsia="Times New Roman" w:cs="Arial"/>
          <w:bCs/>
          <w:szCs w:val="20"/>
          <w:lang w:eastAsia="es-MX"/>
        </w:rPr>
        <w:t>Notas de memoria (cuentas de orden)</w:t>
      </w:r>
    </w:p>
    <w:p w14:paraId="45788CF6" w14:textId="77777777" w:rsidR="00EC262D" w:rsidRPr="00EC262D" w:rsidRDefault="00EC262D" w:rsidP="00EC262D">
      <w:pPr>
        <w:jc w:val="both"/>
        <w:rPr>
          <w:bCs/>
          <w:caps/>
        </w:rPr>
      </w:pPr>
    </w:p>
    <w:p w14:paraId="3CC49B86" w14:textId="77777777" w:rsidR="00EC262D" w:rsidRPr="00EC262D" w:rsidRDefault="00EC262D" w:rsidP="00EC262D">
      <w:pPr>
        <w:jc w:val="both"/>
        <w:rPr>
          <w:bCs/>
        </w:rPr>
      </w:pPr>
      <w:r w:rsidRPr="00EC262D">
        <w:rPr>
          <w:bCs/>
        </w:rPr>
        <w:t>Las cifras mostradas al 31 de marzo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del 23 de diciembre de 2020 y 6 de diciembre de 2022.</w:t>
      </w:r>
    </w:p>
    <w:p w14:paraId="5D8F3B92" w14:textId="77777777" w:rsidR="00EC262D" w:rsidRPr="00EC262D" w:rsidRDefault="00EC262D" w:rsidP="00EC262D">
      <w:pPr>
        <w:jc w:val="both"/>
        <w:rPr>
          <w:bCs/>
        </w:rPr>
      </w:pPr>
    </w:p>
    <w:p w14:paraId="5AED2C59" w14:textId="77777777" w:rsidR="00EC262D" w:rsidRPr="00EC262D" w:rsidRDefault="00EC262D" w:rsidP="00EC262D">
      <w:pPr>
        <w:jc w:val="both"/>
        <w:rPr>
          <w:bCs/>
        </w:rPr>
      </w:pPr>
    </w:p>
    <w:p w14:paraId="57CB4A24" w14:textId="77777777" w:rsidR="00EC262D" w:rsidRPr="00EC262D" w:rsidRDefault="00EC262D" w:rsidP="00EC262D">
      <w:pPr>
        <w:jc w:val="both"/>
        <w:rPr>
          <w:rFonts w:eastAsia="Calibri" w:cs="Times New Roman"/>
          <w:b/>
          <w:sz w:val="24"/>
        </w:rPr>
      </w:pPr>
      <w:r w:rsidRPr="00EC262D">
        <w:rPr>
          <w:rFonts w:eastAsia="Calibri" w:cs="Times New Roman"/>
          <w:b/>
          <w:sz w:val="24"/>
        </w:rPr>
        <w:t>Notas de gestión administrativa</w:t>
      </w:r>
    </w:p>
    <w:p w14:paraId="2CE831ED" w14:textId="77777777" w:rsidR="00EC262D" w:rsidRPr="00EC262D" w:rsidRDefault="00EC262D" w:rsidP="00EC262D">
      <w:pPr>
        <w:autoSpaceDE w:val="0"/>
        <w:autoSpaceDN w:val="0"/>
        <w:adjustRightInd w:val="0"/>
        <w:jc w:val="both"/>
        <w:rPr>
          <w:rFonts w:eastAsia="Calibri" w:cs="Times New Roman"/>
        </w:rPr>
      </w:pPr>
    </w:p>
    <w:p w14:paraId="62D02BAF" w14:textId="77777777" w:rsidR="00EC262D" w:rsidRPr="00EC262D" w:rsidRDefault="00EC262D" w:rsidP="00EC262D">
      <w:pPr>
        <w:autoSpaceDE w:val="0"/>
        <w:autoSpaceDN w:val="0"/>
        <w:adjustRightInd w:val="0"/>
        <w:jc w:val="both"/>
        <w:outlineLvl w:val="0"/>
      </w:pPr>
      <w:r w:rsidRPr="00EC262D">
        <w:t>Las notas de gestión administrativa de las Instituciones Públicas de Seguridad Social, son producto de las notas del ente público que lo conforma, mismas que pueden ser consultadas en el ente público.</w:t>
      </w:r>
    </w:p>
    <w:p w14:paraId="6728C990" w14:textId="77777777" w:rsidR="00EC262D" w:rsidRPr="00EC262D" w:rsidRDefault="00EC262D" w:rsidP="00EC262D">
      <w:pPr>
        <w:autoSpaceDE w:val="0"/>
        <w:autoSpaceDN w:val="0"/>
        <w:adjustRightInd w:val="0"/>
        <w:jc w:val="both"/>
        <w:outlineLvl w:val="0"/>
      </w:pPr>
    </w:p>
    <w:p w14:paraId="22C99638" w14:textId="77777777" w:rsidR="00EC262D" w:rsidRPr="00EC262D" w:rsidRDefault="00EC262D" w:rsidP="00EC262D">
      <w:pPr>
        <w:jc w:val="both"/>
        <w:rPr>
          <w:b/>
          <w:bCs/>
          <w:caps/>
        </w:rPr>
      </w:pPr>
    </w:p>
    <w:p w14:paraId="2A94B451" w14:textId="77777777" w:rsidR="00EC262D" w:rsidRPr="00EC262D" w:rsidRDefault="00EC262D" w:rsidP="00EC262D">
      <w:pPr>
        <w:jc w:val="both"/>
        <w:rPr>
          <w:rFonts w:eastAsia="Calibri" w:cs="Times New Roman"/>
          <w:b/>
          <w:sz w:val="24"/>
        </w:rPr>
      </w:pPr>
      <w:bookmarkStart w:id="1" w:name="_Hlk125467046"/>
      <w:r w:rsidRPr="00EC262D">
        <w:rPr>
          <w:rFonts w:eastAsia="Calibri" w:cs="Times New Roman"/>
          <w:b/>
          <w:sz w:val="24"/>
        </w:rPr>
        <w:t>Notas de desglose</w:t>
      </w:r>
    </w:p>
    <w:p w14:paraId="25D65654" w14:textId="77777777" w:rsidR="00EC262D" w:rsidRPr="00EC262D" w:rsidRDefault="00EC262D" w:rsidP="00EC262D">
      <w:pPr>
        <w:outlineLvl w:val="0"/>
        <w:rPr>
          <w:rFonts w:cs="Arial"/>
          <w:b/>
          <w:bCs/>
        </w:rPr>
      </w:pPr>
    </w:p>
    <w:p w14:paraId="2ABA9242" w14:textId="77777777" w:rsidR="00EC262D" w:rsidRPr="00EC262D" w:rsidRDefault="00EC262D" w:rsidP="00EC262D">
      <w:pPr>
        <w:jc w:val="both"/>
        <w:rPr>
          <w:rFonts w:eastAsia="Calibri" w:cs="Arial"/>
          <w:b/>
          <w:bCs/>
          <w:caps/>
          <w:szCs w:val="20"/>
          <w:lang w:val="es-ES" w:eastAsia="es-ES"/>
        </w:rPr>
      </w:pPr>
      <w:r w:rsidRPr="00EC262D">
        <w:rPr>
          <w:rFonts w:eastAsia="Calibri" w:cs="Arial"/>
          <w:b/>
          <w:bCs/>
          <w:szCs w:val="20"/>
          <w:lang w:val="es-ES" w:eastAsia="es-ES"/>
        </w:rPr>
        <w:t>Notas al estado de actividades</w:t>
      </w:r>
    </w:p>
    <w:p w14:paraId="5289BB3A" w14:textId="77777777" w:rsidR="00EC262D" w:rsidRPr="00EC262D" w:rsidRDefault="00EC262D" w:rsidP="00EC262D">
      <w:pPr>
        <w:jc w:val="both"/>
        <w:outlineLvl w:val="0"/>
      </w:pPr>
    </w:p>
    <w:p w14:paraId="08E08454" w14:textId="77777777" w:rsidR="00EC262D" w:rsidRPr="00EC262D" w:rsidRDefault="00EC262D" w:rsidP="00EC262D">
      <w:pPr>
        <w:jc w:val="both"/>
        <w:outlineLvl w:val="0"/>
      </w:pPr>
      <w:r w:rsidRPr="00EC262D">
        <w:t>El resultado positivo obtenido del 1 de enero al 31 de marzo de 2024, asciende a $ 420,532,324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28413F58" w14:textId="77777777" w:rsidR="00EC262D" w:rsidRPr="00EC262D" w:rsidRDefault="00EC262D" w:rsidP="00EC262D">
      <w:pPr>
        <w:jc w:val="both"/>
        <w:outlineLvl w:val="0"/>
      </w:pPr>
    </w:p>
    <w:p w14:paraId="6A27C89D"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Ingresos y otros beneficios</w:t>
      </w:r>
    </w:p>
    <w:p w14:paraId="13483157" w14:textId="77777777" w:rsidR="00EC262D" w:rsidRPr="00EC262D" w:rsidRDefault="00EC262D" w:rsidP="00EC262D">
      <w:pPr>
        <w:tabs>
          <w:tab w:val="left" w:pos="1418"/>
        </w:tabs>
        <w:autoSpaceDE w:val="0"/>
        <w:autoSpaceDN w:val="0"/>
        <w:adjustRightInd w:val="0"/>
        <w:jc w:val="both"/>
        <w:rPr>
          <w:b/>
          <w:i/>
        </w:rPr>
      </w:pPr>
    </w:p>
    <w:p w14:paraId="53998536" w14:textId="77777777" w:rsidR="00EC262D" w:rsidRPr="00EC262D" w:rsidRDefault="00EC262D" w:rsidP="00EC262D">
      <w:pPr>
        <w:jc w:val="both"/>
        <w:outlineLvl w:val="0"/>
      </w:pPr>
      <w:r w:rsidRPr="00EC262D">
        <w:t>Los ingresos ascienden a $ 1,746,924,580 pesos, dentro de este rubro se reflejan las cuotas y aportaciones de los trabajadores del sector magisterio, burocracia, ISSTECH, convenios particulares y pensionados; así mismo se consideran los ingresos por reposición de credenciales, ingresos del centro deportivo, renta de espacios por estaciones de carga, domo, cafetería, expedición de certificados médicos y servicios médicos a particulares.</w:t>
      </w:r>
    </w:p>
    <w:p w14:paraId="439841B5" w14:textId="77777777" w:rsidR="00EC262D" w:rsidRPr="00EC262D" w:rsidRDefault="00EC262D" w:rsidP="00EC262D">
      <w:pPr>
        <w:jc w:val="both"/>
        <w:outlineLvl w:val="0"/>
      </w:pPr>
    </w:p>
    <w:p w14:paraId="431D9578" w14:textId="77777777" w:rsidR="00EC262D" w:rsidRPr="00EC262D" w:rsidRDefault="00EC262D" w:rsidP="00EC262D">
      <w:pPr>
        <w:jc w:val="both"/>
        <w:outlineLvl w:val="0"/>
      </w:pPr>
      <w:r w:rsidRPr="00EC262D">
        <w:t>Al 31 de marzo de 2024, este rubro está integrado por recursos presupuestales ministrados y radicados a través de transferencias que la Secretaría de Hacienda realiza con base al presupuesto autorizado, proporcionado con las fuentes de financiamiento Fondo de Aportaciones para el Fortalecimiento de las Entidades Federativas, para cubrir el costo de la nómina de pensionados, así como para pago de pasivos de años anteriores y del ejercicio actual, proporcionados con fuente de financiamiento de aportaciones federales.</w:t>
      </w:r>
    </w:p>
    <w:p w14:paraId="60FBF8D4" w14:textId="77777777" w:rsidR="00EC262D" w:rsidRPr="00EC262D" w:rsidRDefault="00EC262D" w:rsidP="00EC262D">
      <w:pPr>
        <w:jc w:val="both"/>
        <w:outlineLvl w:val="0"/>
      </w:pPr>
    </w:p>
    <w:p w14:paraId="3D85CDDC" w14:textId="77777777" w:rsidR="00EC262D" w:rsidRPr="00EC262D" w:rsidRDefault="00EC262D" w:rsidP="00EC262D">
      <w:pPr>
        <w:jc w:val="both"/>
        <w:outlineLvl w:val="0"/>
      </w:pPr>
      <w:r w:rsidRPr="00EC262D">
        <w:t xml:space="preserve">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51373987" w14:textId="77777777" w:rsidR="00EC262D" w:rsidRPr="00EC262D" w:rsidRDefault="00EC262D" w:rsidP="00EC262D">
      <w:pPr>
        <w:jc w:val="both"/>
        <w:outlineLvl w:val="0"/>
      </w:pPr>
    </w:p>
    <w:p w14:paraId="6AD2FAC5"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lastRenderedPageBreak/>
        <w:t>Gastos y otras pérdidas</w:t>
      </w:r>
    </w:p>
    <w:p w14:paraId="3AEB4E2E" w14:textId="77777777" w:rsidR="00EC262D" w:rsidRPr="00EC262D" w:rsidRDefault="00EC262D" w:rsidP="00EC262D">
      <w:pPr>
        <w:jc w:val="both"/>
        <w:outlineLvl w:val="0"/>
      </w:pPr>
    </w:p>
    <w:p w14:paraId="702302DD" w14:textId="77777777" w:rsidR="00EC262D" w:rsidRPr="00EC262D" w:rsidRDefault="00EC262D" w:rsidP="00EC262D">
      <w:pPr>
        <w:jc w:val="both"/>
        <w:outlineLvl w:val="0"/>
      </w:pPr>
      <w:r w:rsidRPr="00EC262D">
        <w:t>Los gastos y otras pérdidas lo integran todas las erogaciones realizadas en la operatividad, los cuales ascienden a $ 1,326,392,256 pesos, integrados principalmente en los capítulos 1000 servicios personales, 2000 materiales y suministros, 3000 servicios generales y 4000 transferencias, asignaciones, subsidios y otras ayudas; así como otros gastos y pérdidas extraordinarias el cual refleja registros contables por concepto de redondeo.</w:t>
      </w:r>
    </w:p>
    <w:p w14:paraId="0A31D56B" w14:textId="77777777" w:rsidR="00EC262D" w:rsidRPr="00EC262D" w:rsidRDefault="00EC262D" w:rsidP="00EC262D">
      <w:pPr>
        <w:jc w:val="both"/>
        <w:outlineLvl w:val="0"/>
      </w:pPr>
    </w:p>
    <w:p w14:paraId="34D52A89" w14:textId="77777777" w:rsidR="00EC262D" w:rsidRPr="00EC262D" w:rsidRDefault="00EC262D" w:rsidP="00EC262D">
      <w:pPr>
        <w:jc w:val="both"/>
        <w:rPr>
          <w:rFonts w:eastAsia="Calibri" w:cs="Arial"/>
          <w:b/>
          <w:bCs/>
          <w:caps/>
          <w:szCs w:val="20"/>
          <w:lang w:val="es-ES" w:eastAsia="es-ES"/>
        </w:rPr>
      </w:pPr>
      <w:r w:rsidRPr="00EC262D">
        <w:rPr>
          <w:rFonts w:eastAsia="Calibri" w:cs="Arial"/>
          <w:b/>
          <w:bCs/>
          <w:szCs w:val="20"/>
          <w:lang w:val="es-ES" w:eastAsia="es-ES"/>
        </w:rPr>
        <w:t>Notas al estado de situación financiera</w:t>
      </w:r>
    </w:p>
    <w:p w14:paraId="70CD9A3D" w14:textId="77777777" w:rsidR="00EC262D" w:rsidRPr="00EC262D" w:rsidRDefault="00EC262D" w:rsidP="00EC262D">
      <w:pPr>
        <w:outlineLvl w:val="0"/>
        <w:rPr>
          <w:rFonts w:cs="Arial"/>
          <w:b/>
          <w:bCs/>
        </w:rPr>
      </w:pPr>
    </w:p>
    <w:p w14:paraId="1AA31983"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Activo</w:t>
      </w:r>
    </w:p>
    <w:p w14:paraId="7E167A19" w14:textId="77777777" w:rsidR="00EC262D" w:rsidRPr="00EC262D" w:rsidRDefault="00EC262D" w:rsidP="00EC262D">
      <w:pPr>
        <w:jc w:val="both"/>
        <w:rPr>
          <w:rFonts w:cs="Arial"/>
          <w:szCs w:val="20"/>
        </w:rPr>
      </w:pPr>
    </w:p>
    <w:bookmarkEnd w:id="1"/>
    <w:p w14:paraId="3F57042C" w14:textId="77777777" w:rsidR="00EC262D" w:rsidRPr="00EC262D" w:rsidRDefault="00EC262D" w:rsidP="00EC262D">
      <w:pPr>
        <w:jc w:val="both"/>
      </w:pPr>
      <w:r w:rsidRPr="00EC262D">
        <w:t>El activo se compone de los fondos, valores, derechos y bienes cuantificados en términos monetarios, los cuales controla y disponen las Instituciones Públicas de Seguridad Social para la prestación de servicios públicos, éste se integra como sigue:</w:t>
      </w:r>
    </w:p>
    <w:p w14:paraId="0847E5D4" w14:textId="77777777" w:rsidR="00EC262D" w:rsidRPr="00EC262D" w:rsidRDefault="00EC262D" w:rsidP="00EC262D">
      <w:pPr>
        <w:jc w:val="both"/>
        <w:outlineLvl w:val="0"/>
        <w:rPr>
          <w:b/>
          <w:bCs/>
        </w:rPr>
      </w:pPr>
    </w:p>
    <w:p w14:paraId="4948A153" w14:textId="77777777" w:rsidR="00EC262D" w:rsidRPr="00EC262D" w:rsidRDefault="00EC262D" w:rsidP="00EC262D">
      <w:pPr>
        <w:jc w:val="both"/>
        <w:rPr>
          <w:rFonts w:eastAsia="Calibri" w:cs="Arial"/>
          <w:b/>
          <w:bCs/>
          <w:szCs w:val="20"/>
          <w:lang w:val="es-ES" w:eastAsia="es-ES"/>
        </w:rPr>
      </w:pPr>
      <w:bookmarkStart w:id="2" w:name="_Hlk125467084"/>
      <w:r w:rsidRPr="00EC262D">
        <w:rPr>
          <w:rFonts w:eastAsia="Calibri" w:cs="Arial"/>
          <w:b/>
          <w:bCs/>
          <w:szCs w:val="20"/>
          <w:lang w:val="es-ES" w:eastAsia="es-ES"/>
        </w:rPr>
        <w:t>Circulante</w:t>
      </w:r>
    </w:p>
    <w:bookmarkEnd w:id="2"/>
    <w:p w14:paraId="0261C68C" w14:textId="77777777" w:rsidR="00EC262D" w:rsidRPr="00EC262D" w:rsidRDefault="00EC262D" w:rsidP="00EC262D">
      <w:pPr>
        <w:jc w:val="both"/>
        <w:rPr>
          <w:rFonts w:eastAsia="Calibri" w:cs="Times New Roman"/>
        </w:rPr>
      </w:pPr>
    </w:p>
    <w:p w14:paraId="7C0A90B8" w14:textId="77777777" w:rsidR="00EC262D" w:rsidRPr="00EC262D" w:rsidRDefault="00EC262D" w:rsidP="00EC262D">
      <w:pPr>
        <w:jc w:val="center"/>
        <w:rPr>
          <w:rFonts w:eastAsia="Calibri" w:cs="Times New Roman"/>
        </w:rPr>
      </w:pPr>
      <w:r w:rsidRPr="00EC262D">
        <w:rPr>
          <w:rFonts w:asciiTheme="minorHAnsi" w:hAnsiTheme="minorHAnsi"/>
          <w:noProof/>
          <w:sz w:val="22"/>
          <w:lang w:eastAsia="es-MX"/>
        </w:rPr>
        <w:drawing>
          <wp:inline distT="0" distB="0" distL="0" distR="0" wp14:anchorId="6EF5460B" wp14:editId="528D1240">
            <wp:extent cx="3414395" cy="2830830"/>
            <wp:effectExtent l="0" t="0" r="0"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395" cy="2830830"/>
                    </a:xfrm>
                    <a:prstGeom prst="rect">
                      <a:avLst/>
                    </a:prstGeom>
                    <a:noFill/>
                    <a:ln>
                      <a:noFill/>
                    </a:ln>
                  </pic:spPr>
                </pic:pic>
              </a:graphicData>
            </a:graphic>
          </wp:inline>
        </w:drawing>
      </w:r>
    </w:p>
    <w:p w14:paraId="3C5ED4F6" w14:textId="77777777" w:rsidR="00EC262D" w:rsidRPr="00EC262D" w:rsidRDefault="00EC262D" w:rsidP="00EC262D">
      <w:pPr>
        <w:jc w:val="both"/>
        <w:rPr>
          <w:rFonts w:eastAsia="Calibri" w:cs="Times New Roman"/>
        </w:rPr>
      </w:pPr>
    </w:p>
    <w:p w14:paraId="1D1CC45A" w14:textId="77777777" w:rsidR="00EC262D" w:rsidRPr="00EC262D" w:rsidRDefault="00EC262D" w:rsidP="00EC262D">
      <w:pPr>
        <w:jc w:val="both"/>
        <w:rPr>
          <w:rFonts w:eastAsia="Calibri" w:cs="Times New Roman"/>
        </w:rPr>
      </w:pPr>
    </w:p>
    <w:p w14:paraId="73A56225" w14:textId="77777777" w:rsidR="00EC262D" w:rsidRPr="00EC262D" w:rsidRDefault="00EC262D" w:rsidP="00EC262D">
      <w:pPr>
        <w:jc w:val="both"/>
        <w:outlineLvl w:val="0"/>
        <w:rPr>
          <w:b/>
          <w:bCs/>
          <w:i/>
          <w:u w:val="single"/>
        </w:rPr>
      </w:pPr>
      <w:r w:rsidRPr="00EC262D">
        <w:rPr>
          <w:b/>
          <w:bCs/>
          <w:i/>
          <w:u w:val="single"/>
        </w:rPr>
        <w:t>Efectivo y equivalentes</w:t>
      </w:r>
    </w:p>
    <w:p w14:paraId="2AB32126" w14:textId="77777777" w:rsidR="00EC262D" w:rsidRPr="00EC262D" w:rsidRDefault="00EC262D" w:rsidP="00EC262D">
      <w:pPr>
        <w:jc w:val="both"/>
        <w:outlineLvl w:val="0"/>
        <w:rPr>
          <w:b/>
          <w:bCs/>
          <w:i/>
          <w:iCs/>
        </w:rPr>
      </w:pPr>
    </w:p>
    <w:p w14:paraId="350B8473" w14:textId="77777777" w:rsidR="00EC262D" w:rsidRPr="00EC262D" w:rsidRDefault="00EC262D" w:rsidP="00EC262D">
      <w:pPr>
        <w:autoSpaceDE w:val="0"/>
        <w:autoSpaceDN w:val="0"/>
        <w:adjustRightInd w:val="0"/>
        <w:jc w:val="both"/>
      </w:pPr>
      <w:r w:rsidRPr="00EC262D">
        <w:t>Al 31 de marzo de 2024, este rubro expone un saldo positivo por $ 312,141,048 pesos y representa el 39.9 % del total del activo circulante se integra por ingresos, obtenidos por diversos conceptos, como: saldos en las cuentas bancarias para la operatividad de las actividades del instituto, y los depósitos en garantía por contratos de arrendamiento de las unidades médicas y casa geriátrica de Comitán, así como la oficina de enlace de tercer nivel en la Ciudad de México.</w:t>
      </w:r>
    </w:p>
    <w:p w14:paraId="15E4FADC" w14:textId="77777777" w:rsidR="00EC262D" w:rsidRPr="00EC262D" w:rsidRDefault="00EC262D" w:rsidP="00EC262D">
      <w:pPr>
        <w:autoSpaceDE w:val="0"/>
        <w:autoSpaceDN w:val="0"/>
        <w:adjustRightInd w:val="0"/>
        <w:jc w:val="both"/>
      </w:pPr>
    </w:p>
    <w:p w14:paraId="0C787D8D" w14:textId="77777777" w:rsidR="00EC262D" w:rsidRPr="00EC262D" w:rsidRDefault="00EC262D" w:rsidP="00EC262D">
      <w:pPr>
        <w:tabs>
          <w:tab w:val="left" w:pos="1418"/>
        </w:tabs>
        <w:autoSpaceDE w:val="0"/>
        <w:autoSpaceDN w:val="0"/>
        <w:adjustRightInd w:val="0"/>
        <w:jc w:val="center"/>
        <w:rPr>
          <w:b/>
          <w:i/>
        </w:rPr>
      </w:pPr>
      <w:r w:rsidRPr="00EC262D">
        <w:rPr>
          <w:rFonts w:asciiTheme="minorHAnsi" w:hAnsiTheme="minorHAnsi"/>
          <w:noProof/>
          <w:sz w:val="22"/>
          <w:lang w:eastAsia="es-MX"/>
        </w:rPr>
        <w:drawing>
          <wp:inline distT="0" distB="0" distL="0" distR="0" wp14:anchorId="0901FDA4" wp14:editId="2C6C2EA2">
            <wp:extent cx="4367530" cy="152717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7530" cy="1527175"/>
                    </a:xfrm>
                    <a:prstGeom prst="rect">
                      <a:avLst/>
                    </a:prstGeom>
                    <a:noFill/>
                    <a:ln>
                      <a:noFill/>
                    </a:ln>
                  </pic:spPr>
                </pic:pic>
              </a:graphicData>
            </a:graphic>
          </wp:inline>
        </w:drawing>
      </w:r>
    </w:p>
    <w:p w14:paraId="05754379" w14:textId="77777777" w:rsidR="00EC262D" w:rsidRPr="00EC262D" w:rsidRDefault="00EC262D" w:rsidP="00EC262D">
      <w:pPr>
        <w:tabs>
          <w:tab w:val="left" w:pos="1418"/>
        </w:tabs>
        <w:autoSpaceDE w:val="0"/>
        <w:autoSpaceDN w:val="0"/>
        <w:adjustRightInd w:val="0"/>
        <w:jc w:val="both"/>
        <w:rPr>
          <w:b/>
          <w:i/>
        </w:rPr>
      </w:pPr>
    </w:p>
    <w:p w14:paraId="462867DC" w14:textId="77777777" w:rsidR="00EC262D" w:rsidRPr="00EC262D" w:rsidRDefault="00EC262D" w:rsidP="00EC262D">
      <w:pPr>
        <w:jc w:val="both"/>
        <w:outlineLvl w:val="0"/>
        <w:rPr>
          <w:b/>
          <w:bCs/>
          <w:i/>
          <w:u w:val="single"/>
        </w:rPr>
      </w:pPr>
      <w:r w:rsidRPr="00EC262D">
        <w:rPr>
          <w:b/>
          <w:bCs/>
          <w:i/>
          <w:u w:val="single"/>
        </w:rPr>
        <w:lastRenderedPageBreak/>
        <w:t>Derechos a recibir efectivo o equivalentes</w:t>
      </w:r>
    </w:p>
    <w:p w14:paraId="172539FE" w14:textId="77777777" w:rsidR="00EC262D" w:rsidRPr="00EC262D" w:rsidRDefault="00EC262D" w:rsidP="00EC262D">
      <w:pPr>
        <w:tabs>
          <w:tab w:val="left" w:pos="1418"/>
        </w:tabs>
        <w:autoSpaceDE w:val="0"/>
        <w:autoSpaceDN w:val="0"/>
        <w:adjustRightInd w:val="0"/>
        <w:jc w:val="both"/>
        <w:rPr>
          <w:b/>
          <w:i/>
        </w:rPr>
      </w:pPr>
    </w:p>
    <w:p w14:paraId="0A2E7B4D" w14:textId="77777777" w:rsidR="00EC262D" w:rsidRPr="00EC262D" w:rsidRDefault="00EC262D" w:rsidP="00EC262D">
      <w:pPr>
        <w:tabs>
          <w:tab w:val="left" w:pos="1418"/>
        </w:tabs>
        <w:autoSpaceDE w:val="0"/>
        <w:autoSpaceDN w:val="0"/>
        <w:adjustRightInd w:val="0"/>
        <w:jc w:val="both"/>
      </w:pPr>
      <w:r w:rsidRPr="00EC262D">
        <w:t>Se integra por aportaciones de pensionados, cuotas y aportaciones médicas, recuperaciones de préstamos subsidio de aportaciones federales, 1 % de cuotas y aportaciones para el fondo de préstamos y subsidio al empleo que beneficia a los trabajadores del Instituto sujeto a su acreditamiento contra I.S.R. de Sueldos y Salarios. Así mismo, por fondo revolvente otorgado a las unidades médicas para el funcionamiento y desempeño de sus actividades pendientes de comprobación; de igual manera por recursos sujetos de aplicación y adeudos por diversos conceptos.</w:t>
      </w:r>
    </w:p>
    <w:p w14:paraId="343CEB07" w14:textId="77777777" w:rsidR="00EC262D" w:rsidRPr="00EC262D" w:rsidRDefault="00EC262D" w:rsidP="00EC262D">
      <w:pPr>
        <w:tabs>
          <w:tab w:val="left" w:pos="1418"/>
        </w:tabs>
        <w:autoSpaceDE w:val="0"/>
        <w:autoSpaceDN w:val="0"/>
        <w:adjustRightInd w:val="0"/>
        <w:jc w:val="both"/>
      </w:pPr>
    </w:p>
    <w:p w14:paraId="20112BE9" w14:textId="77777777" w:rsidR="00EC262D" w:rsidRPr="00EC262D" w:rsidRDefault="00EC262D" w:rsidP="00EC262D">
      <w:pPr>
        <w:tabs>
          <w:tab w:val="left" w:pos="1418"/>
        </w:tabs>
        <w:autoSpaceDE w:val="0"/>
        <w:autoSpaceDN w:val="0"/>
        <w:adjustRightInd w:val="0"/>
        <w:jc w:val="both"/>
      </w:pPr>
      <w:r w:rsidRPr="00EC262D">
        <w:t>Este rubro al 31 de marzo de 2024 asciende a $ 470,901,566 pesos y representa el 60.1 % del total del activo circulante.</w:t>
      </w:r>
    </w:p>
    <w:p w14:paraId="4DCE3E3E" w14:textId="77777777" w:rsidR="00EC262D" w:rsidRPr="00EC262D" w:rsidRDefault="00EC262D" w:rsidP="00EC262D">
      <w:pPr>
        <w:tabs>
          <w:tab w:val="left" w:pos="1418"/>
        </w:tabs>
        <w:autoSpaceDE w:val="0"/>
        <w:autoSpaceDN w:val="0"/>
        <w:adjustRightInd w:val="0"/>
        <w:jc w:val="both"/>
      </w:pPr>
    </w:p>
    <w:p w14:paraId="7C36BDFE" w14:textId="77777777" w:rsidR="00EC262D" w:rsidRPr="00EC262D" w:rsidRDefault="00EC262D" w:rsidP="00EC262D">
      <w:pPr>
        <w:tabs>
          <w:tab w:val="left" w:pos="1418"/>
        </w:tabs>
        <w:autoSpaceDE w:val="0"/>
        <w:autoSpaceDN w:val="0"/>
        <w:adjustRightInd w:val="0"/>
        <w:jc w:val="both"/>
      </w:pPr>
    </w:p>
    <w:p w14:paraId="5B23A193" w14:textId="77777777" w:rsidR="00EC262D" w:rsidRPr="00EC262D" w:rsidRDefault="00EC262D" w:rsidP="00EC262D">
      <w:pPr>
        <w:autoSpaceDE w:val="0"/>
        <w:autoSpaceDN w:val="0"/>
        <w:adjustRightInd w:val="0"/>
        <w:jc w:val="center"/>
      </w:pPr>
      <w:r w:rsidRPr="00EC262D">
        <w:rPr>
          <w:rFonts w:asciiTheme="minorHAnsi" w:hAnsiTheme="minorHAnsi"/>
          <w:noProof/>
          <w:sz w:val="22"/>
          <w:lang w:eastAsia="es-MX"/>
        </w:rPr>
        <w:drawing>
          <wp:inline distT="0" distB="0" distL="0" distR="0" wp14:anchorId="4D45BD37" wp14:editId="0778C1F2">
            <wp:extent cx="4367530" cy="1332865"/>
            <wp:effectExtent l="0" t="0" r="0"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7530" cy="1332865"/>
                    </a:xfrm>
                    <a:prstGeom prst="rect">
                      <a:avLst/>
                    </a:prstGeom>
                    <a:noFill/>
                    <a:ln>
                      <a:noFill/>
                    </a:ln>
                  </pic:spPr>
                </pic:pic>
              </a:graphicData>
            </a:graphic>
          </wp:inline>
        </w:drawing>
      </w:r>
    </w:p>
    <w:p w14:paraId="00FA5840" w14:textId="77777777" w:rsidR="00EC262D" w:rsidRPr="00EC262D" w:rsidRDefault="00EC262D" w:rsidP="00EC262D">
      <w:pPr>
        <w:autoSpaceDE w:val="0"/>
        <w:autoSpaceDN w:val="0"/>
        <w:adjustRightInd w:val="0"/>
        <w:jc w:val="both"/>
        <w:rPr>
          <w:rFonts w:cs="Arial"/>
          <w:b/>
          <w:bCs/>
          <w:szCs w:val="20"/>
        </w:rPr>
      </w:pPr>
    </w:p>
    <w:p w14:paraId="6BCD8B48" w14:textId="77777777" w:rsidR="00EC262D" w:rsidRPr="00EC262D" w:rsidRDefault="00EC262D" w:rsidP="00EC262D">
      <w:pPr>
        <w:jc w:val="both"/>
        <w:rPr>
          <w:rFonts w:eastAsia="Calibri" w:cs="Arial"/>
          <w:b/>
          <w:bCs/>
          <w:szCs w:val="20"/>
          <w:lang w:val="es-ES" w:eastAsia="es-ES"/>
        </w:rPr>
      </w:pPr>
    </w:p>
    <w:p w14:paraId="476537AD"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No circulante</w:t>
      </w:r>
    </w:p>
    <w:p w14:paraId="1115BEB1" w14:textId="77777777" w:rsidR="00EC262D" w:rsidRPr="00EC262D" w:rsidRDefault="00EC262D" w:rsidP="00EC262D">
      <w:pPr>
        <w:autoSpaceDE w:val="0"/>
        <w:autoSpaceDN w:val="0"/>
        <w:adjustRightInd w:val="0"/>
        <w:jc w:val="both"/>
        <w:rPr>
          <w:rFonts w:cs="Arial"/>
          <w:b/>
          <w:bCs/>
          <w:szCs w:val="20"/>
        </w:rPr>
      </w:pPr>
    </w:p>
    <w:p w14:paraId="0A4153C9" w14:textId="77777777" w:rsidR="00EC262D" w:rsidRPr="00EC262D" w:rsidRDefault="00EC262D" w:rsidP="00EC262D">
      <w:pPr>
        <w:autoSpaceDE w:val="0"/>
        <w:autoSpaceDN w:val="0"/>
        <w:adjustRightInd w:val="0"/>
        <w:jc w:val="center"/>
        <w:rPr>
          <w:b/>
          <w:bCs/>
          <w:noProof/>
          <w:lang w:eastAsia="es-MX"/>
        </w:rPr>
      </w:pPr>
      <w:r w:rsidRPr="00EC262D">
        <w:rPr>
          <w:rFonts w:asciiTheme="minorHAnsi" w:hAnsiTheme="minorHAnsi"/>
          <w:noProof/>
          <w:sz w:val="22"/>
          <w:lang w:eastAsia="es-MX"/>
        </w:rPr>
        <w:drawing>
          <wp:inline distT="0" distB="0" distL="0" distR="0" wp14:anchorId="3EB52805" wp14:editId="46CD301E">
            <wp:extent cx="4250690" cy="3706495"/>
            <wp:effectExtent l="0" t="0" r="0" b="825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0690" cy="3706495"/>
                    </a:xfrm>
                    <a:prstGeom prst="rect">
                      <a:avLst/>
                    </a:prstGeom>
                    <a:noFill/>
                    <a:ln>
                      <a:noFill/>
                    </a:ln>
                  </pic:spPr>
                </pic:pic>
              </a:graphicData>
            </a:graphic>
          </wp:inline>
        </w:drawing>
      </w:r>
    </w:p>
    <w:p w14:paraId="07380470" w14:textId="77777777" w:rsidR="00EC262D" w:rsidRPr="00EC262D" w:rsidRDefault="00EC262D" w:rsidP="00EC262D">
      <w:pPr>
        <w:autoSpaceDE w:val="0"/>
        <w:autoSpaceDN w:val="0"/>
        <w:adjustRightInd w:val="0"/>
        <w:jc w:val="both"/>
        <w:rPr>
          <w:b/>
          <w:bCs/>
          <w:noProof/>
          <w:lang w:eastAsia="es-MX"/>
        </w:rPr>
      </w:pPr>
    </w:p>
    <w:p w14:paraId="0B0EFBEE" w14:textId="77777777" w:rsidR="00EC262D" w:rsidRPr="00EC262D" w:rsidRDefault="00EC262D" w:rsidP="00EC262D">
      <w:pPr>
        <w:autoSpaceDE w:val="0"/>
        <w:autoSpaceDN w:val="0"/>
        <w:adjustRightInd w:val="0"/>
        <w:jc w:val="both"/>
        <w:rPr>
          <w:b/>
          <w:bCs/>
          <w:noProof/>
          <w:lang w:eastAsia="es-MX"/>
        </w:rPr>
      </w:pPr>
    </w:p>
    <w:p w14:paraId="58E398A0" w14:textId="77777777" w:rsidR="00EC262D" w:rsidRPr="00EC262D" w:rsidRDefault="00EC262D" w:rsidP="00EC262D">
      <w:pPr>
        <w:jc w:val="both"/>
        <w:outlineLvl w:val="0"/>
        <w:rPr>
          <w:b/>
          <w:bCs/>
          <w:i/>
          <w:u w:val="single"/>
        </w:rPr>
      </w:pPr>
      <w:r w:rsidRPr="00EC262D">
        <w:rPr>
          <w:b/>
          <w:bCs/>
          <w:i/>
          <w:u w:val="single"/>
        </w:rPr>
        <w:t>Inversiones financieras a largo plazo</w:t>
      </w:r>
    </w:p>
    <w:p w14:paraId="2E6310B0" w14:textId="77777777" w:rsidR="00EC262D" w:rsidRPr="00EC262D" w:rsidRDefault="00EC262D" w:rsidP="00EC262D">
      <w:pPr>
        <w:jc w:val="both"/>
      </w:pPr>
    </w:p>
    <w:p w14:paraId="2983EC42" w14:textId="77777777" w:rsidR="00EC262D" w:rsidRPr="00EC262D" w:rsidRDefault="00EC262D" w:rsidP="00EC262D">
      <w:pPr>
        <w:jc w:val="both"/>
      </w:pPr>
      <w:r w:rsidRPr="00EC262D">
        <w:t xml:space="preserve">El saldo de este rubro al periodo que se informa asciende a $ 859,196,289 pesos, mismo que representa el 38.4 % del activo no circulante;  integrado por el fondo de fideicomiso de pensiones y jubilaciones el cual considera las cuotas y aportaciones mensuales, la aplicación corresponde al 5 % de cuotas sobre sueldos de los trabajadores en transición y </w:t>
      </w:r>
      <w:r w:rsidRPr="00EC262D">
        <w:lastRenderedPageBreak/>
        <w:t xml:space="preserve">13 % de los de nueva generación, el 32 % de aportaciones del gobierno de los trabajadores en transición y el 32 % de los trabajadores de nueva generación del sector; magisterio, burocracia e ISSTECH; así como los intereses que generan las inversiones en las casas de bolsa, e intereses generados por la </w:t>
      </w:r>
      <w:proofErr w:type="spellStart"/>
      <w:r w:rsidRPr="00EC262D">
        <w:t>revolvencia</w:t>
      </w:r>
      <w:proofErr w:type="spellEnd"/>
      <w:r w:rsidRPr="00EC262D">
        <w:t xml:space="preserve">  de los préstamos fideicomiso; recursos que son de exclusividad para la operatividad de los Pensionados y Jubilados, del sector Magisterio, Burocracia e ISSTECH.</w:t>
      </w:r>
    </w:p>
    <w:p w14:paraId="450B5BEB" w14:textId="77777777" w:rsidR="00EC262D" w:rsidRPr="00EC262D" w:rsidRDefault="00EC262D" w:rsidP="00EC262D">
      <w:pPr>
        <w:jc w:val="both"/>
      </w:pPr>
    </w:p>
    <w:p w14:paraId="5FD22C32" w14:textId="77777777" w:rsidR="00EC262D" w:rsidRPr="00EC262D" w:rsidRDefault="00EC262D" w:rsidP="00EC262D">
      <w:pPr>
        <w:tabs>
          <w:tab w:val="left" w:pos="1418"/>
        </w:tabs>
        <w:jc w:val="center"/>
      </w:pPr>
      <w:r w:rsidRPr="00EC262D">
        <w:rPr>
          <w:rFonts w:asciiTheme="minorHAnsi" w:hAnsiTheme="minorHAnsi"/>
          <w:noProof/>
          <w:sz w:val="22"/>
          <w:lang w:eastAsia="es-MX"/>
        </w:rPr>
        <w:drawing>
          <wp:inline distT="0" distB="0" distL="0" distR="0" wp14:anchorId="48BBC2BE" wp14:editId="662AD6AD">
            <wp:extent cx="4367530" cy="114808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7530" cy="1148080"/>
                    </a:xfrm>
                    <a:prstGeom prst="rect">
                      <a:avLst/>
                    </a:prstGeom>
                    <a:noFill/>
                    <a:ln>
                      <a:noFill/>
                    </a:ln>
                  </pic:spPr>
                </pic:pic>
              </a:graphicData>
            </a:graphic>
          </wp:inline>
        </w:drawing>
      </w:r>
    </w:p>
    <w:p w14:paraId="1CF67499" w14:textId="77777777" w:rsidR="00EC262D" w:rsidRPr="00EC262D" w:rsidRDefault="00EC262D" w:rsidP="00EC262D">
      <w:pPr>
        <w:tabs>
          <w:tab w:val="left" w:pos="1418"/>
        </w:tabs>
        <w:jc w:val="both"/>
      </w:pPr>
    </w:p>
    <w:p w14:paraId="35E3E3C8" w14:textId="77777777" w:rsidR="00EC262D" w:rsidRPr="00EC262D" w:rsidRDefault="00EC262D" w:rsidP="00EC262D">
      <w:pPr>
        <w:tabs>
          <w:tab w:val="left" w:pos="1418"/>
        </w:tabs>
        <w:autoSpaceDE w:val="0"/>
        <w:autoSpaceDN w:val="0"/>
        <w:adjustRightInd w:val="0"/>
        <w:jc w:val="both"/>
        <w:rPr>
          <w:b/>
          <w:i/>
          <w:color w:val="B09A5B"/>
        </w:rPr>
      </w:pPr>
    </w:p>
    <w:p w14:paraId="02A62D1A" w14:textId="77777777" w:rsidR="00EC262D" w:rsidRPr="00EC262D" w:rsidRDefault="00EC262D" w:rsidP="00EC262D">
      <w:pPr>
        <w:jc w:val="both"/>
        <w:outlineLvl w:val="0"/>
        <w:rPr>
          <w:b/>
          <w:bCs/>
          <w:i/>
          <w:u w:val="single"/>
        </w:rPr>
      </w:pPr>
      <w:r w:rsidRPr="00EC262D">
        <w:rPr>
          <w:b/>
          <w:bCs/>
          <w:i/>
          <w:u w:val="single"/>
        </w:rPr>
        <w:t>Derechos a recibir efectivo o equivalentes a largo plazo</w:t>
      </w:r>
    </w:p>
    <w:p w14:paraId="3C1CEFD3" w14:textId="77777777" w:rsidR="00EC262D" w:rsidRPr="00EC262D" w:rsidRDefault="00EC262D" w:rsidP="00EC262D">
      <w:pPr>
        <w:autoSpaceDE w:val="0"/>
        <w:autoSpaceDN w:val="0"/>
        <w:adjustRightInd w:val="0"/>
        <w:jc w:val="both"/>
      </w:pPr>
    </w:p>
    <w:p w14:paraId="3D294008" w14:textId="77777777" w:rsidR="00EC262D" w:rsidRPr="00EC262D" w:rsidRDefault="00EC262D" w:rsidP="00EC262D">
      <w:pPr>
        <w:spacing w:line="100" w:lineRule="atLeast"/>
        <w:jc w:val="both"/>
      </w:pPr>
      <w:r w:rsidRPr="00EC262D">
        <w:t>Este rubro del activo al 31 de marzo de 2024 asciende a $ 913,076,211 pesos y representa el 40.8 % del activo no circulante, se integra por 4 y 5 % de aportaciones para el servicio médico de pensionados, subsidio para el pago de nómina de pensionados del sector policía, subsidio para medicamentos pendiente de recibir de la Secretaría de Hacienda, Así mismo, por las ministraciones otorgadas a las unidades médicas para el funcionamiento y desempeño de sus actividades pendientes de comprobación, recursos sujetos de aplicación y adeudos por diversos conceptos.</w:t>
      </w:r>
    </w:p>
    <w:p w14:paraId="728A3D3B" w14:textId="77777777" w:rsidR="00EC262D" w:rsidRPr="00EC262D" w:rsidRDefault="00EC262D" w:rsidP="00EC262D">
      <w:pPr>
        <w:spacing w:line="100" w:lineRule="atLeast"/>
        <w:jc w:val="both"/>
      </w:pPr>
    </w:p>
    <w:p w14:paraId="3C5C07D4" w14:textId="77777777" w:rsidR="00EC262D" w:rsidRPr="00EC262D" w:rsidRDefault="00EC262D" w:rsidP="00EC262D">
      <w:pPr>
        <w:spacing w:line="100" w:lineRule="atLeast"/>
        <w:jc w:val="both"/>
      </w:pPr>
      <w:r w:rsidRPr="00EC262D">
        <w:t>Así mismo,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31A5328C" w14:textId="77777777" w:rsidR="00EC262D" w:rsidRPr="00EC262D" w:rsidRDefault="00EC262D" w:rsidP="00EC262D">
      <w:pPr>
        <w:spacing w:line="100" w:lineRule="atLeast"/>
        <w:jc w:val="both"/>
        <w:rPr>
          <w:highlight w:val="yellow"/>
        </w:rPr>
      </w:pPr>
    </w:p>
    <w:p w14:paraId="2990F93B" w14:textId="77777777" w:rsidR="00EC262D" w:rsidRPr="00EC262D" w:rsidRDefault="00EC262D" w:rsidP="00EC262D">
      <w:pPr>
        <w:tabs>
          <w:tab w:val="left" w:pos="1418"/>
        </w:tabs>
        <w:autoSpaceDE w:val="0"/>
        <w:autoSpaceDN w:val="0"/>
        <w:adjustRightInd w:val="0"/>
        <w:jc w:val="center"/>
      </w:pPr>
      <w:r w:rsidRPr="00EC262D">
        <w:rPr>
          <w:rFonts w:asciiTheme="minorHAnsi" w:hAnsiTheme="minorHAnsi"/>
          <w:noProof/>
          <w:sz w:val="22"/>
          <w:lang w:eastAsia="es-MX"/>
        </w:rPr>
        <w:drawing>
          <wp:inline distT="0" distB="0" distL="0" distR="0" wp14:anchorId="147A9B05" wp14:editId="3E99BF12">
            <wp:extent cx="4367530" cy="139128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530" cy="1391285"/>
                    </a:xfrm>
                    <a:prstGeom prst="rect">
                      <a:avLst/>
                    </a:prstGeom>
                    <a:noFill/>
                    <a:ln>
                      <a:noFill/>
                    </a:ln>
                  </pic:spPr>
                </pic:pic>
              </a:graphicData>
            </a:graphic>
          </wp:inline>
        </w:drawing>
      </w:r>
    </w:p>
    <w:p w14:paraId="39B61424" w14:textId="77777777" w:rsidR="00EC262D" w:rsidRPr="00EC262D" w:rsidRDefault="00EC262D" w:rsidP="00EC262D">
      <w:pPr>
        <w:tabs>
          <w:tab w:val="left" w:pos="1418"/>
        </w:tabs>
        <w:autoSpaceDE w:val="0"/>
        <w:autoSpaceDN w:val="0"/>
        <w:adjustRightInd w:val="0"/>
        <w:jc w:val="both"/>
        <w:rPr>
          <w:b/>
          <w:i/>
        </w:rPr>
      </w:pPr>
    </w:p>
    <w:p w14:paraId="192F7C67" w14:textId="77777777" w:rsidR="00EC262D" w:rsidRPr="00EC262D" w:rsidRDefault="00EC262D" w:rsidP="00EC262D">
      <w:pPr>
        <w:tabs>
          <w:tab w:val="left" w:pos="1418"/>
        </w:tabs>
        <w:autoSpaceDE w:val="0"/>
        <w:autoSpaceDN w:val="0"/>
        <w:adjustRightInd w:val="0"/>
        <w:jc w:val="both"/>
        <w:rPr>
          <w:b/>
          <w:i/>
        </w:rPr>
      </w:pPr>
    </w:p>
    <w:p w14:paraId="4DC42E4B" w14:textId="77777777" w:rsidR="00EC262D" w:rsidRPr="00EC262D" w:rsidRDefault="00EC262D" w:rsidP="00EC262D">
      <w:pPr>
        <w:jc w:val="both"/>
        <w:outlineLvl w:val="0"/>
        <w:rPr>
          <w:b/>
          <w:bCs/>
          <w:i/>
          <w:u w:val="single"/>
        </w:rPr>
      </w:pPr>
      <w:r w:rsidRPr="00EC262D">
        <w:rPr>
          <w:b/>
          <w:bCs/>
          <w:i/>
          <w:u w:val="single"/>
        </w:rPr>
        <w:t>Bienes inmuebles, infraestructura y construcciones en proceso</w:t>
      </w:r>
    </w:p>
    <w:p w14:paraId="7A30D9E5" w14:textId="77777777" w:rsidR="00EC262D" w:rsidRPr="00EC262D" w:rsidRDefault="00EC262D" w:rsidP="00EC262D">
      <w:pPr>
        <w:jc w:val="both"/>
      </w:pPr>
    </w:p>
    <w:p w14:paraId="3F24208D" w14:textId="77777777" w:rsidR="00EC262D" w:rsidRPr="00EC262D" w:rsidRDefault="00EC262D" w:rsidP="00EC262D">
      <w:pPr>
        <w:jc w:val="both"/>
      </w:pPr>
      <w:r w:rsidRPr="00EC262D">
        <w:t>Este rubro del activo refleja la cifra de $ 191,270,319 pesos y se integra de las propiedades que tiene el instituto en el estado de Chiapas y que ocupan sus oficinas administrativas, clínicas hospitales, coordinaciones médicas y centro deportivo ISSTECH adquiridas con recursos propios y mediante donación.</w:t>
      </w:r>
    </w:p>
    <w:p w14:paraId="68018C86" w14:textId="77777777" w:rsidR="00EC262D" w:rsidRPr="00EC262D" w:rsidRDefault="00EC262D" w:rsidP="00EC262D">
      <w:pPr>
        <w:rPr>
          <w:highlight w:val="yellow"/>
        </w:rPr>
      </w:pPr>
    </w:p>
    <w:p w14:paraId="1E78DF93" w14:textId="77777777" w:rsidR="00EC262D" w:rsidRPr="00EC262D" w:rsidRDefault="00EC262D" w:rsidP="00EC262D">
      <w:r w:rsidRPr="00EC262D">
        <w:t>Del total del activo no circulante al 31 de marzo de 2024, este rubro representa el 8.6 %.</w:t>
      </w:r>
    </w:p>
    <w:p w14:paraId="1E25DDA6" w14:textId="77777777" w:rsidR="00EC262D" w:rsidRPr="00EC262D" w:rsidRDefault="00EC262D" w:rsidP="00EC262D"/>
    <w:p w14:paraId="2DB4FB94" w14:textId="77777777" w:rsidR="00EC262D" w:rsidRPr="00EC262D" w:rsidRDefault="00EC262D" w:rsidP="00EC262D">
      <w:pPr>
        <w:jc w:val="center"/>
      </w:pPr>
      <w:r w:rsidRPr="00EC262D">
        <w:rPr>
          <w:rFonts w:asciiTheme="minorHAnsi" w:hAnsiTheme="minorHAnsi"/>
          <w:noProof/>
          <w:sz w:val="22"/>
          <w:lang w:eastAsia="es-MX"/>
        </w:rPr>
        <w:lastRenderedPageBreak/>
        <w:drawing>
          <wp:inline distT="0" distB="0" distL="0" distR="0" wp14:anchorId="2B43EE7B" wp14:editId="6820AF76">
            <wp:extent cx="4367530" cy="1332865"/>
            <wp:effectExtent l="0" t="0" r="0" b="63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530" cy="1332865"/>
                    </a:xfrm>
                    <a:prstGeom prst="rect">
                      <a:avLst/>
                    </a:prstGeom>
                    <a:noFill/>
                    <a:ln>
                      <a:noFill/>
                    </a:ln>
                  </pic:spPr>
                </pic:pic>
              </a:graphicData>
            </a:graphic>
          </wp:inline>
        </w:drawing>
      </w:r>
    </w:p>
    <w:p w14:paraId="1324212E" w14:textId="77777777" w:rsidR="00EC262D" w:rsidRPr="00EC262D" w:rsidRDefault="00EC262D" w:rsidP="00EC262D">
      <w:pPr>
        <w:tabs>
          <w:tab w:val="left" w:pos="1418"/>
        </w:tabs>
        <w:autoSpaceDE w:val="0"/>
        <w:autoSpaceDN w:val="0"/>
        <w:adjustRightInd w:val="0"/>
        <w:jc w:val="both"/>
        <w:rPr>
          <w:b/>
          <w:i/>
        </w:rPr>
      </w:pPr>
    </w:p>
    <w:p w14:paraId="6C198EF7" w14:textId="77777777" w:rsidR="00EC262D" w:rsidRPr="00EC262D" w:rsidRDefault="00EC262D" w:rsidP="00EC262D">
      <w:pPr>
        <w:tabs>
          <w:tab w:val="left" w:pos="1418"/>
        </w:tabs>
        <w:autoSpaceDE w:val="0"/>
        <w:autoSpaceDN w:val="0"/>
        <w:adjustRightInd w:val="0"/>
        <w:jc w:val="both"/>
        <w:rPr>
          <w:b/>
          <w:i/>
        </w:rPr>
      </w:pPr>
    </w:p>
    <w:p w14:paraId="2B8E8ED8" w14:textId="77777777" w:rsidR="00EC262D" w:rsidRPr="00EC262D" w:rsidRDefault="00EC262D" w:rsidP="00EC262D">
      <w:pPr>
        <w:jc w:val="both"/>
        <w:outlineLvl w:val="0"/>
        <w:rPr>
          <w:b/>
          <w:bCs/>
          <w:i/>
          <w:u w:val="single"/>
        </w:rPr>
      </w:pPr>
      <w:r w:rsidRPr="00EC262D">
        <w:rPr>
          <w:b/>
          <w:bCs/>
          <w:i/>
          <w:u w:val="single"/>
        </w:rPr>
        <w:t>Bienes muebles</w:t>
      </w:r>
    </w:p>
    <w:p w14:paraId="170ACAB7" w14:textId="77777777" w:rsidR="00EC262D" w:rsidRPr="00EC262D" w:rsidRDefault="00EC262D" w:rsidP="00EC262D">
      <w:pPr>
        <w:autoSpaceDE w:val="0"/>
        <w:autoSpaceDN w:val="0"/>
        <w:adjustRightInd w:val="0"/>
        <w:jc w:val="both"/>
      </w:pPr>
    </w:p>
    <w:p w14:paraId="140F8495" w14:textId="77777777" w:rsidR="00EC262D" w:rsidRPr="00EC262D" w:rsidRDefault="00EC262D" w:rsidP="00EC262D">
      <w:pPr>
        <w:jc w:val="both"/>
      </w:pPr>
      <w:r w:rsidRPr="00EC262D">
        <w:t xml:space="preserve">Este renglón del activo refleja el valor de los bienes muebles que poseen las Instituciones Públicas de Seguridad Social y que al 31 de marzo de 2024, asciende a un monto global de $ 272,129,347 pesos y representa el 12.2 % respecto al total del activo no circulante, se integra del valor histórico  de mobiliario y equipo de administración, mobiliario y equipo educacional y recreativo, equipo e instrumental médico y de laboratorio, vehículos y equipo de transporte, maquinaria, otros equipos y herramientas, y colecciones, obras de arte y objetos valiosos,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14:paraId="325E0127" w14:textId="77777777" w:rsidR="00EC262D" w:rsidRPr="00EC262D" w:rsidRDefault="00EC262D" w:rsidP="00EC262D">
      <w:pPr>
        <w:jc w:val="both"/>
      </w:pPr>
    </w:p>
    <w:p w14:paraId="5B5EF169" w14:textId="77777777" w:rsidR="00EC262D" w:rsidRPr="00EC262D" w:rsidRDefault="00EC262D" w:rsidP="00EC262D">
      <w:pPr>
        <w:tabs>
          <w:tab w:val="left" w:pos="1418"/>
        </w:tabs>
        <w:autoSpaceDE w:val="0"/>
        <w:autoSpaceDN w:val="0"/>
        <w:adjustRightInd w:val="0"/>
        <w:jc w:val="center"/>
      </w:pPr>
      <w:r w:rsidRPr="00EC262D">
        <w:rPr>
          <w:rFonts w:asciiTheme="minorHAnsi" w:hAnsiTheme="minorHAnsi"/>
          <w:noProof/>
          <w:sz w:val="22"/>
          <w:lang w:eastAsia="es-MX"/>
        </w:rPr>
        <w:drawing>
          <wp:inline distT="0" distB="0" distL="0" distR="0" wp14:anchorId="48F82659" wp14:editId="72E3EE0F">
            <wp:extent cx="4367530" cy="249999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7530" cy="2499995"/>
                    </a:xfrm>
                    <a:prstGeom prst="rect">
                      <a:avLst/>
                    </a:prstGeom>
                    <a:noFill/>
                    <a:ln>
                      <a:noFill/>
                    </a:ln>
                  </pic:spPr>
                </pic:pic>
              </a:graphicData>
            </a:graphic>
          </wp:inline>
        </w:drawing>
      </w:r>
    </w:p>
    <w:p w14:paraId="6460247B" w14:textId="77777777" w:rsidR="00EC262D" w:rsidRPr="00EC262D" w:rsidRDefault="00EC262D" w:rsidP="00EC262D">
      <w:pPr>
        <w:tabs>
          <w:tab w:val="left" w:pos="1418"/>
        </w:tabs>
        <w:autoSpaceDE w:val="0"/>
        <w:autoSpaceDN w:val="0"/>
        <w:adjustRightInd w:val="0"/>
        <w:jc w:val="both"/>
        <w:rPr>
          <w:b/>
          <w:i/>
        </w:rPr>
      </w:pPr>
    </w:p>
    <w:p w14:paraId="57646CA2" w14:textId="77777777" w:rsidR="00EC262D" w:rsidRPr="00EC262D" w:rsidRDefault="00EC262D" w:rsidP="00EC262D">
      <w:pPr>
        <w:tabs>
          <w:tab w:val="left" w:pos="1418"/>
        </w:tabs>
        <w:autoSpaceDE w:val="0"/>
        <w:autoSpaceDN w:val="0"/>
        <w:adjustRightInd w:val="0"/>
        <w:jc w:val="both"/>
        <w:rPr>
          <w:b/>
          <w:i/>
        </w:rPr>
      </w:pPr>
    </w:p>
    <w:p w14:paraId="42A8568C" w14:textId="77777777" w:rsidR="00EC262D" w:rsidRPr="00EC262D" w:rsidRDefault="00EC262D" w:rsidP="00EC262D">
      <w:pPr>
        <w:jc w:val="both"/>
        <w:outlineLvl w:val="0"/>
        <w:rPr>
          <w:b/>
          <w:bCs/>
          <w:i/>
          <w:u w:val="single"/>
        </w:rPr>
      </w:pPr>
      <w:r w:rsidRPr="00EC262D">
        <w:rPr>
          <w:b/>
          <w:bCs/>
          <w:i/>
          <w:u w:val="single"/>
        </w:rPr>
        <w:t>Activos intangibles</w:t>
      </w:r>
    </w:p>
    <w:p w14:paraId="4F0D0E94" w14:textId="77777777" w:rsidR="00EC262D" w:rsidRPr="00EC262D" w:rsidRDefault="00EC262D" w:rsidP="00EC262D">
      <w:pPr>
        <w:tabs>
          <w:tab w:val="left" w:pos="1418"/>
        </w:tabs>
        <w:autoSpaceDE w:val="0"/>
        <w:autoSpaceDN w:val="0"/>
        <w:adjustRightInd w:val="0"/>
        <w:jc w:val="both"/>
        <w:rPr>
          <w:b/>
          <w:i/>
        </w:rPr>
      </w:pPr>
    </w:p>
    <w:p w14:paraId="42F515D0" w14:textId="77777777" w:rsidR="00EC262D" w:rsidRPr="00EC262D" w:rsidRDefault="00EC262D" w:rsidP="00EC262D">
      <w:pPr>
        <w:autoSpaceDE w:val="0"/>
        <w:autoSpaceDN w:val="0"/>
        <w:adjustRightInd w:val="0"/>
        <w:jc w:val="both"/>
      </w:pPr>
      <w:r w:rsidRPr="00EC262D">
        <w:t>Al 31 de marzo de 2024, este rubro asciende a $ 590,626 pesos, se integra por la adquisición de licencias de antivirus, así como de paquetes informáticos para el desarrollo de las actividades de la unidad de tecnologías de la información, adquiridos con recursos propios.</w:t>
      </w:r>
    </w:p>
    <w:p w14:paraId="4F52A26E" w14:textId="77777777" w:rsidR="00EC262D" w:rsidRPr="00EC262D" w:rsidRDefault="00EC262D" w:rsidP="00EC262D">
      <w:pPr>
        <w:autoSpaceDE w:val="0"/>
        <w:autoSpaceDN w:val="0"/>
        <w:adjustRightInd w:val="0"/>
        <w:jc w:val="both"/>
      </w:pPr>
    </w:p>
    <w:p w14:paraId="302E35F2" w14:textId="77777777" w:rsidR="00EC262D" w:rsidRPr="00EC262D" w:rsidRDefault="00EC262D" w:rsidP="00EC262D">
      <w:pPr>
        <w:autoSpaceDE w:val="0"/>
        <w:autoSpaceDN w:val="0"/>
        <w:adjustRightInd w:val="0"/>
        <w:jc w:val="both"/>
      </w:pPr>
    </w:p>
    <w:p w14:paraId="77D85289" w14:textId="77777777" w:rsidR="00EC262D" w:rsidRPr="00EC262D" w:rsidRDefault="00EC262D" w:rsidP="00EC262D">
      <w:pPr>
        <w:autoSpaceDE w:val="0"/>
        <w:autoSpaceDN w:val="0"/>
        <w:adjustRightInd w:val="0"/>
        <w:jc w:val="both"/>
      </w:pPr>
    </w:p>
    <w:p w14:paraId="40E358DE" w14:textId="77777777" w:rsidR="00EC262D" w:rsidRPr="00EC262D" w:rsidRDefault="00EC262D" w:rsidP="00EC262D">
      <w:pPr>
        <w:autoSpaceDE w:val="0"/>
        <w:autoSpaceDN w:val="0"/>
        <w:adjustRightInd w:val="0"/>
        <w:jc w:val="both"/>
      </w:pPr>
    </w:p>
    <w:p w14:paraId="6CD5034E" w14:textId="77777777" w:rsidR="00EC262D" w:rsidRPr="00EC262D" w:rsidRDefault="00EC262D" w:rsidP="00EC262D">
      <w:pPr>
        <w:autoSpaceDE w:val="0"/>
        <w:autoSpaceDN w:val="0"/>
        <w:adjustRightInd w:val="0"/>
        <w:jc w:val="center"/>
        <w:outlineLvl w:val="0"/>
        <w:rPr>
          <w:b/>
          <w:bCs/>
          <w:i/>
          <w:iCs/>
        </w:rPr>
      </w:pPr>
      <w:r w:rsidRPr="00EC262D">
        <w:rPr>
          <w:rFonts w:asciiTheme="minorHAnsi" w:hAnsiTheme="minorHAnsi"/>
          <w:noProof/>
          <w:sz w:val="22"/>
          <w:lang w:eastAsia="es-MX"/>
        </w:rPr>
        <w:drawing>
          <wp:inline distT="0" distB="0" distL="0" distR="0" wp14:anchorId="2D30AB76" wp14:editId="3F2EAB01">
            <wp:extent cx="4367530" cy="101155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7530" cy="1011555"/>
                    </a:xfrm>
                    <a:prstGeom prst="rect">
                      <a:avLst/>
                    </a:prstGeom>
                    <a:noFill/>
                    <a:ln>
                      <a:noFill/>
                    </a:ln>
                  </pic:spPr>
                </pic:pic>
              </a:graphicData>
            </a:graphic>
          </wp:inline>
        </w:drawing>
      </w:r>
    </w:p>
    <w:p w14:paraId="325A51A7" w14:textId="77777777" w:rsidR="00EC262D" w:rsidRPr="00EC262D" w:rsidRDefault="00EC262D" w:rsidP="00EC262D">
      <w:pPr>
        <w:jc w:val="both"/>
        <w:rPr>
          <w:rFonts w:eastAsia="Calibri" w:cs="Arial"/>
          <w:b/>
          <w:bCs/>
          <w:szCs w:val="20"/>
          <w:lang w:val="es-ES" w:eastAsia="es-ES"/>
        </w:rPr>
      </w:pPr>
      <w:bookmarkStart w:id="3" w:name="_Hlk125467269"/>
      <w:r w:rsidRPr="00EC262D">
        <w:rPr>
          <w:rFonts w:eastAsia="Calibri" w:cs="Arial"/>
          <w:b/>
          <w:bCs/>
          <w:szCs w:val="20"/>
          <w:lang w:val="es-ES" w:eastAsia="es-ES"/>
        </w:rPr>
        <w:lastRenderedPageBreak/>
        <w:t>Pasivo</w:t>
      </w:r>
    </w:p>
    <w:p w14:paraId="4DFB3228" w14:textId="77777777" w:rsidR="00EC262D" w:rsidRPr="00EC262D" w:rsidRDefault="00EC262D" w:rsidP="00EC262D">
      <w:pPr>
        <w:autoSpaceDE w:val="0"/>
        <w:autoSpaceDN w:val="0"/>
        <w:adjustRightInd w:val="0"/>
        <w:jc w:val="both"/>
        <w:rPr>
          <w:rFonts w:cs="Arial"/>
          <w:b/>
          <w:bCs/>
          <w:szCs w:val="20"/>
        </w:rPr>
      </w:pPr>
    </w:p>
    <w:bookmarkEnd w:id="3"/>
    <w:p w14:paraId="38C0151A" w14:textId="77777777" w:rsidR="00EC262D" w:rsidRPr="00EC262D" w:rsidRDefault="00EC262D" w:rsidP="00EC262D">
      <w:pPr>
        <w:autoSpaceDE w:val="0"/>
        <w:autoSpaceDN w:val="0"/>
        <w:adjustRightInd w:val="0"/>
        <w:jc w:val="both"/>
      </w:pPr>
      <w:r w:rsidRPr="00EC262D">
        <w:t>Es el conjunto de cuentas que permite el registro de las obligaciones contraídas por los entes públicos, para el desarrollo de sus funciones y la prestación de los servicios públicos. Al 31 de marzo de 2024,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BF667DA" w14:textId="77777777" w:rsidR="00EC262D" w:rsidRPr="00EC262D" w:rsidRDefault="00EC262D" w:rsidP="00EC262D">
      <w:pPr>
        <w:autoSpaceDE w:val="0"/>
        <w:autoSpaceDN w:val="0"/>
        <w:adjustRightInd w:val="0"/>
        <w:jc w:val="both"/>
      </w:pPr>
    </w:p>
    <w:p w14:paraId="2815F524" w14:textId="77777777" w:rsidR="00EC262D" w:rsidRPr="00EC262D" w:rsidRDefault="00EC262D" w:rsidP="00EC262D">
      <w:pPr>
        <w:jc w:val="both"/>
        <w:rPr>
          <w:rFonts w:eastAsia="Calibri" w:cs="Arial"/>
          <w:b/>
          <w:bCs/>
          <w:szCs w:val="20"/>
          <w:lang w:val="es-ES" w:eastAsia="es-ES"/>
        </w:rPr>
      </w:pPr>
    </w:p>
    <w:p w14:paraId="6D6A20BF"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Circulante</w:t>
      </w:r>
    </w:p>
    <w:p w14:paraId="1B7721D8" w14:textId="77777777" w:rsidR="00EC262D" w:rsidRPr="00EC262D" w:rsidRDefault="00EC262D" w:rsidP="00EC262D">
      <w:pPr>
        <w:autoSpaceDE w:val="0"/>
        <w:autoSpaceDN w:val="0"/>
        <w:adjustRightInd w:val="0"/>
        <w:jc w:val="both"/>
        <w:rPr>
          <w:b/>
          <w:bCs/>
        </w:rPr>
      </w:pPr>
    </w:p>
    <w:p w14:paraId="445A2905" w14:textId="77777777" w:rsidR="00EC262D" w:rsidRPr="00EC262D" w:rsidRDefault="00EC262D" w:rsidP="00EC262D">
      <w:pPr>
        <w:autoSpaceDE w:val="0"/>
        <w:autoSpaceDN w:val="0"/>
        <w:adjustRightInd w:val="0"/>
        <w:jc w:val="center"/>
        <w:rPr>
          <w:b/>
          <w:bCs/>
        </w:rPr>
      </w:pPr>
      <w:r w:rsidRPr="00EC262D">
        <w:rPr>
          <w:rFonts w:asciiTheme="minorHAnsi" w:hAnsiTheme="minorHAnsi"/>
          <w:noProof/>
          <w:sz w:val="22"/>
          <w:lang w:eastAsia="es-MX"/>
        </w:rPr>
        <w:drawing>
          <wp:inline distT="0" distB="0" distL="0" distR="0" wp14:anchorId="7C6316BB" wp14:editId="006C0E2E">
            <wp:extent cx="3608705" cy="35896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8705" cy="3589655"/>
                    </a:xfrm>
                    <a:prstGeom prst="rect">
                      <a:avLst/>
                    </a:prstGeom>
                    <a:noFill/>
                    <a:ln>
                      <a:noFill/>
                    </a:ln>
                  </pic:spPr>
                </pic:pic>
              </a:graphicData>
            </a:graphic>
          </wp:inline>
        </w:drawing>
      </w:r>
    </w:p>
    <w:p w14:paraId="51E47E94" w14:textId="77777777" w:rsidR="00EC262D" w:rsidRPr="00EC262D" w:rsidRDefault="00EC262D" w:rsidP="00EC262D">
      <w:pPr>
        <w:autoSpaceDE w:val="0"/>
        <w:autoSpaceDN w:val="0"/>
        <w:adjustRightInd w:val="0"/>
        <w:jc w:val="both"/>
        <w:rPr>
          <w:b/>
          <w:bCs/>
        </w:rPr>
      </w:pPr>
    </w:p>
    <w:p w14:paraId="45D8E4D5" w14:textId="77777777" w:rsidR="00EC262D" w:rsidRPr="00EC262D" w:rsidRDefault="00EC262D" w:rsidP="00EC262D">
      <w:pPr>
        <w:autoSpaceDE w:val="0"/>
        <w:autoSpaceDN w:val="0"/>
        <w:adjustRightInd w:val="0"/>
        <w:jc w:val="both"/>
        <w:rPr>
          <w:b/>
          <w:bCs/>
        </w:rPr>
      </w:pPr>
    </w:p>
    <w:p w14:paraId="2CCF9CE4" w14:textId="77777777" w:rsidR="00EC262D" w:rsidRPr="00EC262D" w:rsidRDefault="00EC262D" w:rsidP="00EC262D">
      <w:pPr>
        <w:jc w:val="both"/>
        <w:outlineLvl w:val="0"/>
        <w:rPr>
          <w:b/>
          <w:bCs/>
          <w:i/>
          <w:u w:val="single"/>
        </w:rPr>
      </w:pPr>
      <w:r w:rsidRPr="00EC262D">
        <w:rPr>
          <w:b/>
          <w:bCs/>
          <w:i/>
          <w:u w:val="single"/>
        </w:rPr>
        <w:t>Cuentas por pagar a corto plazo</w:t>
      </w:r>
    </w:p>
    <w:p w14:paraId="33C2A4AE" w14:textId="77777777" w:rsidR="00EC262D" w:rsidRPr="00EC262D" w:rsidRDefault="00EC262D" w:rsidP="00EC262D">
      <w:pPr>
        <w:tabs>
          <w:tab w:val="left" w:pos="1418"/>
        </w:tabs>
        <w:autoSpaceDE w:val="0"/>
        <w:autoSpaceDN w:val="0"/>
        <w:adjustRightInd w:val="0"/>
        <w:jc w:val="both"/>
        <w:rPr>
          <w:b/>
          <w:i/>
        </w:rPr>
      </w:pPr>
    </w:p>
    <w:p w14:paraId="4D34767C" w14:textId="77777777" w:rsidR="00EC262D" w:rsidRPr="00EC262D" w:rsidRDefault="00EC262D" w:rsidP="00EC262D">
      <w:pPr>
        <w:jc w:val="both"/>
      </w:pPr>
      <w:r w:rsidRPr="00EC262D">
        <w:rPr>
          <w:bCs/>
        </w:rPr>
        <w:t xml:space="preserve">Las cuentas por pagar a corto plazo del periodo 1 de enero al 31 de marzo de 2024 ascienden a $ 118,052,962 pesos, </w:t>
      </w:r>
      <w:r w:rsidRPr="00EC262D">
        <w:t>y representa el 28 % del pasivo circulante, integrándose por los compromisos pendientes de pago de prestaciones salariales devengadas, del periodo que se informa y de años anteriores, así como a proveedores y prestadores de servicios; por la adquisición de productos farmacéuticos e insumos médicos, importe que está en proceso de depuración para su pago.</w:t>
      </w:r>
    </w:p>
    <w:p w14:paraId="70B253A0" w14:textId="77777777" w:rsidR="00EC262D" w:rsidRPr="00EC262D" w:rsidRDefault="00EC262D" w:rsidP="00EC262D">
      <w:pPr>
        <w:jc w:val="both"/>
      </w:pPr>
    </w:p>
    <w:p w14:paraId="043F2680" w14:textId="77777777" w:rsidR="00EC262D" w:rsidRPr="00EC262D" w:rsidRDefault="00EC262D" w:rsidP="00EC262D">
      <w:pPr>
        <w:jc w:val="both"/>
      </w:pPr>
      <w:r w:rsidRPr="00EC262D">
        <w:t>Así como, por contribuciones federales de retenciones sobre honorarios, arrendamiento, impuesto sobre sueldos y salarios e indemnización, y retenciones del 1.25 % del Régimen Simplificado de Confianza (RESICO) y contribuciones estatales del 2 % del impuesto sobre nóminas, 6 % adicional para el desarrollo económico y social de la entidad y 2 % de retención de obras y servicios, mismos que se pagarán a Hacienda Federal y Estatal.</w:t>
      </w:r>
    </w:p>
    <w:p w14:paraId="05B4BC45" w14:textId="77777777" w:rsidR="00EC262D" w:rsidRPr="00EC262D" w:rsidRDefault="00EC262D" w:rsidP="00EC262D">
      <w:pPr>
        <w:jc w:val="both"/>
      </w:pPr>
      <w:r w:rsidRPr="00EC262D">
        <w:t xml:space="preserve"> </w:t>
      </w:r>
    </w:p>
    <w:p w14:paraId="01A74649" w14:textId="77777777" w:rsidR="00EC262D" w:rsidRPr="00EC262D" w:rsidRDefault="00EC262D" w:rsidP="00EC262D">
      <w:pPr>
        <w:jc w:val="both"/>
      </w:pPr>
      <w:r w:rsidRPr="00EC262D">
        <w:t>También, se incluyen los compromisos pendientes de pago a cargo del Instituto, tales como, pensión alimenticia, diversas cuotas sindicales, adeudos a empresas crediticias, entre otros, mismos que se encuentran en proceso de integración contable para su depuración correspondiente.</w:t>
      </w:r>
    </w:p>
    <w:p w14:paraId="0940203C" w14:textId="77777777" w:rsidR="00EC262D" w:rsidRPr="00EC262D" w:rsidRDefault="00EC262D" w:rsidP="00EC262D">
      <w:pPr>
        <w:jc w:val="both"/>
      </w:pPr>
    </w:p>
    <w:p w14:paraId="7C215CBC" w14:textId="77777777" w:rsidR="00EC262D" w:rsidRPr="00EC262D" w:rsidRDefault="00EC262D" w:rsidP="00EC262D">
      <w:pPr>
        <w:jc w:val="center"/>
        <w:rPr>
          <w:noProof/>
          <w:lang w:eastAsia="es-MX"/>
        </w:rPr>
      </w:pPr>
      <w:r w:rsidRPr="00EC262D">
        <w:rPr>
          <w:rFonts w:asciiTheme="minorHAnsi" w:hAnsiTheme="minorHAnsi"/>
          <w:noProof/>
          <w:sz w:val="22"/>
          <w:lang w:eastAsia="es-MX"/>
        </w:rPr>
        <w:lastRenderedPageBreak/>
        <w:drawing>
          <wp:inline distT="0" distB="0" distL="0" distR="0" wp14:anchorId="4C68B322" wp14:editId="67ACF093">
            <wp:extent cx="4367530" cy="21691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7530" cy="2169160"/>
                    </a:xfrm>
                    <a:prstGeom prst="rect">
                      <a:avLst/>
                    </a:prstGeom>
                    <a:noFill/>
                    <a:ln>
                      <a:noFill/>
                    </a:ln>
                  </pic:spPr>
                </pic:pic>
              </a:graphicData>
            </a:graphic>
          </wp:inline>
        </w:drawing>
      </w:r>
    </w:p>
    <w:p w14:paraId="26EF93D1" w14:textId="77777777" w:rsidR="00EC262D" w:rsidRPr="00EC262D" w:rsidRDefault="00EC262D" w:rsidP="00EC262D">
      <w:pPr>
        <w:jc w:val="both"/>
        <w:outlineLvl w:val="0"/>
      </w:pPr>
    </w:p>
    <w:p w14:paraId="5006905E" w14:textId="77777777" w:rsidR="00EC262D" w:rsidRPr="00EC262D" w:rsidRDefault="00EC262D" w:rsidP="00EC262D">
      <w:pPr>
        <w:jc w:val="both"/>
        <w:outlineLvl w:val="0"/>
      </w:pPr>
    </w:p>
    <w:p w14:paraId="26DD3F04" w14:textId="77777777" w:rsidR="00EC262D" w:rsidRPr="00EC262D" w:rsidRDefault="00EC262D" w:rsidP="00EC262D">
      <w:pPr>
        <w:jc w:val="both"/>
        <w:outlineLvl w:val="0"/>
        <w:rPr>
          <w:b/>
          <w:bCs/>
          <w:i/>
          <w:u w:val="single"/>
        </w:rPr>
      </w:pPr>
      <w:r w:rsidRPr="00EC262D">
        <w:rPr>
          <w:b/>
          <w:bCs/>
          <w:i/>
          <w:u w:val="single"/>
        </w:rPr>
        <w:t>Fondos y bienes de terceros en garantía y/o administración a corto plazo</w:t>
      </w:r>
    </w:p>
    <w:p w14:paraId="10C74044" w14:textId="77777777" w:rsidR="00EC262D" w:rsidRPr="00EC262D" w:rsidRDefault="00EC262D" w:rsidP="00EC262D">
      <w:pPr>
        <w:tabs>
          <w:tab w:val="left" w:pos="1418"/>
        </w:tabs>
        <w:autoSpaceDE w:val="0"/>
        <w:autoSpaceDN w:val="0"/>
        <w:adjustRightInd w:val="0"/>
        <w:jc w:val="both"/>
        <w:rPr>
          <w:b/>
          <w:i/>
        </w:rPr>
      </w:pPr>
    </w:p>
    <w:p w14:paraId="46F932F1" w14:textId="77777777" w:rsidR="00EC262D" w:rsidRPr="00EC262D" w:rsidRDefault="00EC262D" w:rsidP="00EC262D">
      <w:pPr>
        <w:jc w:val="both"/>
        <w:rPr>
          <w:bCs/>
        </w:rPr>
      </w:pPr>
      <w:r w:rsidRPr="00EC262D">
        <w:rPr>
          <w:bCs/>
        </w:rPr>
        <w:t xml:space="preserve">Este rubro al 31 de marzo del 2024, asciende a $ 302,613,193 pesos, representando el 71.8 % del total de pasivo circulante, mismo que se integra por rentas del centro deportivo y préstamos por pagar, así como reintegros </w:t>
      </w:r>
      <w:proofErr w:type="spellStart"/>
      <w:r w:rsidRPr="00EC262D">
        <w:rPr>
          <w:bCs/>
        </w:rPr>
        <w:t>kardex</w:t>
      </w:r>
      <w:proofErr w:type="spellEnd"/>
      <w:r w:rsidRPr="00EC262D">
        <w:rPr>
          <w:bCs/>
        </w:rPr>
        <w:t>, recuperación de préstamos por aplicar, descuentos indebidos de préstamos, intereses cobrados del fondo de préstamos, 1 % de cuotas y aportaciones del fondo de préstamos y rendimientos bancarios del fondo de préstamos.</w:t>
      </w:r>
    </w:p>
    <w:p w14:paraId="612410E7" w14:textId="77777777" w:rsidR="00EC262D" w:rsidRPr="00EC262D" w:rsidRDefault="00EC262D" w:rsidP="00EC262D">
      <w:pPr>
        <w:jc w:val="both"/>
        <w:rPr>
          <w:bCs/>
        </w:rPr>
      </w:pPr>
    </w:p>
    <w:p w14:paraId="3FA96774" w14:textId="77777777" w:rsidR="00EC262D" w:rsidRPr="00EC262D" w:rsidRDefault="00EC262D" w:rsidP="00EC262D">
      <w:pPr>
        <w:jc w:val="center"/>
      </w:pPr>
      <w:r w:rsidRPr="00EC262D">
        <w:rPr>
          <w:rFonts w:asciiTheme="minorHAnsi" w:hAnsiTheme="minorHAnsi"/>
          <w:noProof/>
          <w:sz w:val="22"/>
          <w:lang w:eastAsia="es-MX"/>
        </w:rPr>
        <w:drawing>
          <wp:inline distT="0" distB="0" distL="0" distR="0" wp14:anchorId="709618CE" wp14:editId="49429C22">
            <wp:extent cx="4367530" cy="14789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7530" cy="1478915"/>
                    </a:xfrm>
                    <a:prstGeom prst="rect">
                      <a:avLst/>
                    </a:prstGeom>
                    <a:noFill/>
                    <a:ln>
                      <a:noFill/>
                    </a:ln>
                  </pic:spPr>
                </pic:pic>
              </a:graphicData>
            </a:graphic>
          </wp:inline>
        </w:drawing>
      </w:r>
    </w:p>
    <w:p w14:paraId="60F29871" w14:textId="77777777" w:rsidR="00EC262D" w:rsidRPr="00EC262D" w:rsidRDefault="00EC262D" w:rsidP="00EC262D">
      <w:pPr>
        <w:jc w:val="both"/>
        <w:outlineLvl w:val="0"/>
      </w:pPr>
    </w:p>
    <w:p w14:paraId="55CF15F2" w14:textId="77777777" w:rsidR="00EC262D" w:rsidRPr="00EC262D" w:rsidRDefault="00EC262D" w:rsidP="00EC262D">
      <w:pPr>
        <w:jc w:val="both"/>
        <w:outlineLvl w:val="0"/>
        <w:rPr>
          <w:b/>
          <w:bCs/>
          <w:i/>
        </w:rPr>
      </w:pPr>
    </w:p>
    <w:p w14:paraId="0489B82A" w14:textId="77777777" w:rsidR="00EC262D" w:rsidRPr="00EC262D" w:rsidRDefault="00EC262D" w:rsidP="00EC262D">
      <w:pPr>
        <w:jc w:val="both"/>
        <w:outlineLvl w:val="0"/>
        <w:rPr>
          <w:b/>
          <w:bCs/>
          <w:i/>
          <w:u w:val="single"/>
        </w:rPr>
      </w:pPr>
      <w:r w:rsidRPr="00EC262D">
        <w:rPr>
          <w:b/>
          <w:bCs/>
          <w:i/>
          <w:u w:val="single"/>
        </w:rPr>
        <w:t>Otros pasivos a corto plazo</w:t>
      </w:r>
    </w:p>
    <w:p w14:paraId="326ACF2B" w14:textId="77777777" w:rsidR="00EC262D" w:rsidRPr="00EC262D" w:rsidRDefault="00EC262D" w:rsidP="00EC262D">
      <w:pPr>
        <w:tabs>
          <w:tab w:val="left" w:pos="1418"/>
        </w:tabs>
        <w:autoSpaceDE w:val="0"/>
        <w:autoSpaceDN w:val="0"/>
        <w:adjustRightInd w:val="0"/>
        <w:jc w:val="both"/>
        <w:rPr>
          <w:b/>
          <w:i/>
        </w:rPr>
      </w:pPr>
    </w:p>
    <w:p w14:paraId="469A6908" w14:textId="77777777" w:rsidR="00EC262D" w:rsidRPr="00EC262D" w:rsidRDefault="00EC262D" w:rsidP="00EC262D">
      <w:pPr>
        <w:jc w:val="both"/>
        <w:rPr>
          <w:bCs/>
        </w:rPr>
      </w:pPr>
      <w:r w:rsidRPr="00EC262D">
        <w:rPr>
          <w:bCs/>
        </w:rPr>
        <w:t>Al 31 de marzo del 2024, este rubro asciende a $ 656,386 pesos, representando el 0.2 % del total de pasivo circulante, integrado por abonos bancarios por aclarar al periodo que se informa.</w:t>
      </w:r>
    </w:p>
    <w:p w14:paraId="2CBC2B87" w14:textId="77777777" w:rsidR="00EC262D" w:rsidRPr="00EC262D" w:rsidRDefault="00EC262D" w:rsidP="00EC262D">
      <w:pPr>
        <w:jc w:val="both"/>
        <w:rPr>
          <w:bCs/>
        </w:rPr>
      </w:pPr>
    </w:p>
    <w:p w14:paraId="49DEA8CB" w14:textId="77777777" w:rsidR="00EC262D" w:rsidRPr="00EC262D" w:rsidRDefault="00EC262D" w:rsidP="00EC262D">
      <w:pPr>
        <w:jc w:val="center"/>
        <w:rPr>
          <w:bCs/>
        </w:rPr>
      </w:pPr>
      <w:r w:rsidRPr="00EC262D">
        <w:rPr>
          <w:rFonts w:asciiTheme="minorHAnsi" w:hAnsiTheme="minorHAnsi"/>
          <w:noProof/>
          <w:sz w:val="22"/>
          <w:lang w:eastAsia="es-MX"/>
        </w:rPr>
        <w:drawing>
          <wp:inline distT="0" distB="0" distL="0" distR="0" wp14:anchorId="1B6CA397" wp14:editId="31CC862A">
            <wp:extent cx="4367530" cy="10115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7530" cy="1011555"/>
                    </a:xfrm>
                    <a:prstGeom prst="rect">
                      <a:avLst/>
                    </a:prstGeom>
                    <a:noFill/>
                    <a:ln>
                      <a:noFill/>
                    </a:ln>
                  </pic:spPr>
                </pic:pic>
              </a:graphicData>
            </a:graphic>
          </wp:inline>
        </w:drawing>
      </w:r>
    </w:p>
    <w:p w14:paraId="3736F115" w14:textId="77777777" w:rsidR="00EC262D" w:rsidRPr="00EC262D" w:rsidRDefault="00EC262D" w:rsidP="00EC262D">
      <w:pPr>
        <w:jc w:val="both"/>
        <w:rPr>
          <w:rFonts w:cs="Arial"/>
          <w:szCs w:val="20"/>
        </w:rPr>
      </w:pPr>
    </w:p>
    <w:p w14:paraId="0B4AD08D" w14:textId="77777777" w:rsidR="00EC262D" w:rsidRPr="00EC262D" w:rsidRDefault="00EC262D" w:rsidP="00EC262D">
      <w:pPr>
        <w:jc w:val="both"/>
        <w:rPr>
          <w:rFonts w:cs="Arial"/>
          <w:szCs w:val="20"/>
        </w:rPr>
      </w:pPr>
    </w:p>
    <w:p w14:paraId="502F5BDB" w14:textId="77777777" w:rsidR="00EC262D" w:rsidRPr="00EC262D" w:rsidRDefault="00EC262D" w:rsidP="00EC262D">
      <w:pPr>
        <w:jc w:val="both"/>
        <w:rPr>
          <w:rFonts w:cs="Arial"/>
          <w:szCs w:val="20"/>
        </w:rPr>
      </w:pPr>
    </w:p>
    <w:p w14:paraId="36A4E868" w14:textId="77777777" w:rsidR="00EC262D" w:rsidRDefault="00EC262D">
      <w:pPr>
        <w:spacing w:after="160" w:line="259" w:lineRule="auto"/>
        <w:rPr>
          <w:rFonts w:eastAsia="Calibri" w:cs="Arial"/>
          <w:b/>
          <w:bCs/>
          <w:szCs w:val="20"/>
          <w:lang w:val="es-ES" w:eastAsia="es-ES"/>
        </w:rPr>
      </w:pPr>
      <w:r>
        <w:rPr>
          <w:rFonts w:eastAsia="Calibri" w:cs="Arial"/>
          <w:b/>
          <w:bCs/>
          <w:szCs w:val="20"/>
          <w:lang w:val="es-ES" w:eastAsia="es-ES"/>
        </w:rPr>
        <w:br w:type="page"/>
      </w:r>
    </w:p>
    <w:p w14:paraId="43E3C7F6" w14:textId="3638A87F"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lastRenderedPageBreak/>
        <w:t>No circulante</w:t>
      </w:r>
    </w:p>
    <w:p w14:paraId="147AF552" w14:textId="77777777" w:rsidR="00EC262D" w:rsidRPr="00EC262D" w:rsidRDefault="00EC262D" w:rsidP="00EC262D">
      <w:pPr>
        <w:autoSpaceDE w:val="0"/>
        <w:autoSpaceDN w:val="0"/>
        <w:adjustRightInd w:val="0"/>
        <w:jc w:val="both"/>
        <w:rPr>
          <w:rFonts w:cs="Arial"/>
          <w:b/>
          <w:bCs/>
          <w:szCs w:val="20"/>
        </w:rPr>
      </w:pPr>
    </w:p>
    <w:p w14:paraId="4C22132B" w14:textId="77777777" w:rsidR="00EC262D" w:rsidRPr="00EC262D" w:rsidRDefault="00EC262D" w:rsidP="00EC262D">
      <w:pPr>
        <w:autoSpaceDE w:val="0"/>
        <w:autoSpaceDN w:val="0"/>
        <w:adjustRightInd w:val="0"/>
        <w:jc w:val="center"/>
        <w:rPr>
          <w:rFonts w:cs="Arial"/>
          <w:b/>
          <w:bCs/>
          <w:szCs w:val="20"/>
        </w:rPr>
      </w:pPr>
      <w:r w:rsidRPr="00EC262D">
        <w:rPr>
          <w:rFonts w:asciiTheme="minorHAnsi" w:hAnsiTheme="minorHAnsi"/>
          <w:noProof/>
          <w:sz w:val="22"/>
          <w:lang w:eastAsia="es-MX"/>
        </w:rPr>
        <w:drawing>
          <wp:inline distT="0" distB="0" distL="0" distR="0" wp14:anchorId="0E43B67A" wp14:editId="56BC2928">
            <wp:extent cx="3793490" cy="31324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3490" cy="3132455"/>
                    </a:xfrm>
                    <a:prstGeom prst="rect">
                      <a:avLst/>
                    </a:prstGeom>
                    <a:noFill/>
                    <a:ln>
                      <a:noFill/>
                    </a:ln>
                  </pic:spPr>
                </pic:pic>
              </a:graphicData>
            </a:graphic>
          </wp:inline>
        </w:drawing>
      </w:r>
    </w:p>
    <w:p w14:paraId="5246444B" w14:textId="77777777" w:rsidR="00EC262D" w:rsidRPr="00EC262D" w:rsidRDefault="00EC262D" w:rsidP="00EC262D">
      <w:pPr>
        <w:tabs>
          <w:tab w:val="left" w:pos="1418"/>
        </w:tabs>
        <w:autoSpaceDE w:val="0"/>
        <w:autoSpaceDN w:val="0"/>
        <w:adjustRightInd w:val="0"/>
        <w:jc w:val="both"/>
        <w:rPr>
          <w:b/>
          <w:i/>
        </w:rPr>
      </w:pPr>
    </w:p>
    <w:p w14:paraId="6CB6CBC2" w14:textId="77777777" w:rsidR="00EC262D" w:rsidRPr="00EC262D" w:rsidRDefault="00EC262D" w:rsidP="00EC262D">
      <w:pPr>
        <w:tabs>
          <w:tab w:val="left" w:pos="1418"/>
        </w:tabs>
        <w:autoSpaceDE w:val="0"/>
        <w:autoSpaceDN w:val="0"/>
        <w:adjustRightInd w:val="0"/>
        <w:jc w:val="both"/>
        <w:rPr>
          <w:b/>
          <w:i/>
        </w:rPr>
      </w:pPr>
    </w:p>
    <w:p w14:paraId="3BB3BB80" w14:textId="77777777" w:rsidR="00EC262D" w:rsidRPr="00EC262D" w:rsidRDefault="00EC262D" w:rsidP="00EC262D">
      <w:pPr>
        <w:jc w:val="both"/>
        <w:outlineLvl w:val="0"/>
        <w:rPr>
          <w:b/>
          <w:bCs/>
          <w:i/>
          <w:u w:val="single"/>
        </w:rPr>
      </w:pPr>
      <w:r w:rsidRPr="00EC262D">
        <w:rPr>
          <w:b/>
          <w:bCs/>
          <w:i/>
          <w:u w:val="single"/>
        </w:rPr>
        <w:t>Cuentas por pagar a largo plazo</w:t>
      </w:r>
    </w:p>
    <w:p w14:paraId="792CF83C" w14:textId="77777777" w:rsidR="00EC262D" w:rsidRPr="00EC262D" w:rsidRDefault="00EC262D" w:rsidP="00EC262D">
      <w:pPr>
        <w:tabs>
          <w:tab w:val="left" w:pos="1418"/>
        </w:tabs>
        <w:autoSpaceDE w:val="0"/>
        <w:autoSpaceDN w:val="0"/>
        <w:adjustRightInd w:val="0"/>
        <w:jc w:val="both"/>
        <w:rPr>
          <w:b/>
          <w:i/>
          <w:color w:val="B09A5B"/>
        </w:rPr>
      </w:pPr>
    </w:p>
    <w:p w14:paraId="4D3C14BA" w14:textId="77777777" w:rsidR="00EC262D" w:rsidRPr="00EC262D" w:rsidRDefault="00EC262D" w:rsidP="00EC262D">
      <w:pPr>
        <w:spacing w:line="100" w:lineRule="atLeast"/>
        <w:jc w:val="both"/>
      </w:pPr>
      <w:r w:rsidRPr="00EC262D">
        <w:t>Este rubro se integra por los compromisos pendientes de pago a proveedores y prestadores de servicios, por la adquisición de productos farmacéuticos e insumos médicos y prestación de servicios, importe que está en proceso de depuración para su pago.</w:t>
      </w:r>
    </w:p>
    <w:p w14:paraId="14F3F206" w14:textId="77777777" w:rsidR="00EC262D" w:rsidRPr="00EC262D" w:rsidRDefault="00EC262D" w:rsidP="00EC262D">
      <w:pPr>
        <w:spacing w:line="100" w:lineRule="atLeast"/>
        <w:jc w:val="both"/>
      </w:pPr>
    </w:p>
    <w:p w14:paraId="6D988A79" w14:textId="77777777" w:rsidR="00EC262D" w:rsidRPr="00EC262D" w:rsidRDefault="00EC262D" w:rsidP="00EC262D">
      <w:pPr>
        <w:jc w:val="both"/>
        <w:outlineLvl w:val="0"/>
      </w:pPr>
      <w:r w:rsidRPr="00EC262D">
        <w:t xml:space="preserve">Al 31 de marzo de 2024, este rubro asciende a $ 606,259,326 </w:t>
      </w:r>
      <w:r w:rsidRPr="00EC262D">
        <w:rPr>
          <w:bCs/>
        </w:rPr>
        <w:t>pesos y representa el 43 % del pasivo no circulante.</w:t>
      </w:r>
    </w:p>
    <w:p w14:paraId="100529F0" w14:textId="77777777" w:rsidR="00EC262D" w:rsidRPr="00EC262D" w:rsidRDefault="00EC262D" w:rsidP="00EC262D">
      <w:pPr>
        <w:jc w:val="both"/>
        <w:outlineLvl w:val="0"/>
      </w:pPr>
    </w:p>
    <w:p w14:paraId="312697E8" w14:textId="77777777" w:rsidR="00EC262D" w:rsidRPr="00EC262D" w:rsidRDefault="00EC262D" w:rsidP="00EC262D">
      <w:pPr>
        <w:jc w:val="center"/>
        <w:outlineLvl w:val="0"/>
        <w:rPr>
          <w:bCs/>
          <w:iCs/>
        </w:rPr>
      </w:pPr>
      <w:r w:rsidRPr="00EC262D">
        <w:rPr>
          <w:rFonts w:asciiTheme="minorHAnsi" w:hAnsiTheme="minorHAnsi"/>
          <w:noProof/>
          <w:sz w:val="22"/>
          <w:lang w:eastAsia="es-MX"/>
        </w:rPr>
        <w:drawing>
          <wp:inline distT="0" distB="0" distL="0" distR="0" wp14:anchorId="0B83BE46" wp14:editId="582735A1">
            <wp:extent cx="4367530" cy="10115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7530" cy="1011555"/>
                    </a:xfrm>
                    <a:prstGeom prst="rect">
                      <a:avLst/>
                    </a:prstGeom>
                    <a:noFill/>
                    <a:ln>
                      <a:noFill/>
                    </a:ln>
                  </pic:spPr>
                </pic:pic>
              </a:graphicData>
            </a:graphic>
          </wp:inline>
        </w:drawing>
      </w:r>
    </w:p>
    <w:p w14:paraId="309E7034" w14:textId="77777777" w:rsidR="00EC262D" w:rsidRPr="00EC262D" w:rsidRDefault="00EC262D" w:rsidP="00EC262D">
      <w:pPr>
        <w:tabs>
          <w:tab w:val="left" w:pos="1418"/>
        </w:tabs>
        <w:autoSpaceDE w:val="0"/>
        <w:autoSpaceDN w:val="0"/>
        <w:adjustRightInd w:val="0"/>
        <w:jc w:val="both"/>
        <w:rPr>
          <w:b/>
          <w:i/>
        </w:rPr>
      </w:pPr>
    </w:p>
    <w:p w14:paraId="49435B53" w14:textId="77777777" w:rsidR="00EC262D" w:rsidRPr="00EC262D" w:rsidRDefault="00EC262D" w:rsidP="00EC262D">
      <w:pPr>
        <w:tabs>
          <w:tab w:val="left" w:pos="1418"/>
        </w:tabs>
        <w:autoSpaceDE w:val="0"/>
        <w:autoSpaceDN w:val="0"/>
        <w:adjustRightInd w:val="0"/>
        <w:jc w:val="both"/>
        <w:rPr>
          <w:b/>
          <w:i/>
        </w:rPr>
      </w:pPr>
    </w:p>
    <w:p w14:paraId="3813503A" w14:textId="77777777" w:rsidR="00EC262D" w:rsidRPr="00EC262D" w:rsidRDefault="00EC262D" w:rsidP="00EC262D">
      <w:pPr>
        <w:jc w:val="both"/>
        <w:outlineLvl w:val="0"/>
        <w:rPr>
          <w:b/>
          <w:bCs/>
          <w:i/>
          <w:u w:val="single"/>
        </w:rPr>
      </w:pPr>
      <w:r w:rsidRPr="00EC262D">
        <w:rPr>
          <w:b/>
          <w:bCs/>
          <w:i/>
          <w:u w:val="single"/>
        </w:rPr>
        <w:t>Pasivos diferidos a largo plazo</w:t>
      </w:r>
    </w:p>
    <w:p w14:paraId="57F98913" w14:textId="77777777" w:rsidR="00EC262D" w:rsidRPr="00EC262D" w:rsidRDefault="00EC262D" w:rsidP="00EC262D">
      <w:pPr>
        <w:tabs>
          <w:tab w:val="left" w:pos="1418"/>
        </w:tabs>
        <w:autoSpaceDE w:val="0"/>
        <w:autoSpaceDN w:val="0"/>
        <w:adjustRightInd w:val="0"/>
        <w:jc w:val="both"/>
        <w:rPr>
          <w:b/>
          <w:i/>
        </w:rPr>
      </w:pPr>
    </w:p>
    <w:p w14:paraId="1B0C8D19" w14:textId="77777777" w:rsidR="00EC262D" w:rsidRPr="00EC262D" w:rsidRDefault="00EC262D" w:rsidP="00EC262D">
      <w:pPr>
        <w:jc w:val="both"/>
        <w:outlineLvl w:val="0"/>
      </w:pPr>
      <w:r w:rsidRPr="00EC262D">
        <w:t>Este rubro se integra en gran parte por conceptos como aguinaldo, sueldos, descuentos indebidos de préstamos, seguro de vida mutualista, devolución de cuotas de retiro.</w:t>
      </w:r>
    </w:p>
    <w:p w14:paraId="4B8DC0D6" w14:textId="77777777" w:rsidR="00EC262D" w:rsidRPr="00EC262D" w:rsidRDefault="00EC262D" w:rsidP="00EC262D">
      <w:pPr>
        <w:jc w:val="both"/>
        <w:outlineLvl w:val="0"/>
      </w:pPr>
    </w:p>
    <w:p w14:paraId="182BB9E5" w14:textId="77777777" w:rsidR="00EC262D" w:rsidRPr="00EC262D" w:rsidRDefault="00EC262D" w:rsidP="00EC262D">
      <w:pPr>
        <w:jc w:val="both"/>
        <w:outlineLvl w:val="0"/>
        <w:rPr>
          <w:bCs/>
        </w:rPr>
      </w:pPr>
      <w:r w:rsidRPr="00EC262D">
        <w:t xml:space="preserve">Al 31 de marzo de 2024, este rubro asciende a $ 424,819,801 </w:t>
      </w:r>
      <w:r w:rsidRPr="00EC262D">
        <w:rPr>
          <w:bCs/>
        </w:rPr>
        <w:t>pesos y representa el 30.1 % del pasivo no circulante.</w:t>
      </w:r>
    </w:p>
    <w:p w14:paraId="60874C19" w14:textId="77777777" w:rsidR="00EC262D" w:rsidRPr="00EC262D" w:rsidRDefault="00EC262D" w:rsidP="00EC262D">
      <w:pPr>
        <w:jc w:val="both"/>
        <w:outlineLvl w:val="0"/>
      </w:pPr>
    </w:p>
    <w:p w14:paraId="417F46FB" w14:textId="77777777" w:rsidR="00EC262D" w:rsidRPr="00EC262D" w:rsidRDefault="00EC262D" w:rsidP="00EC262D">
      <w:pPr>
        <w:jc w:val="center"/>
        <w:outlineLvl w:val="0"/>
      </w:pPr>
      <w:r w:rsidRPr="00EC262D">
        <w:rPr>
          <w:rFonts w:asciiTheme="minorHAnsi" w:hAnsiTheme="minorHAnsi"/>
          <w:noProof/>
          <w:sz w:val="22"/>
          <w:lang w:eastAsia="es-MX"/>
        </w:rPr>
        <w:drawing>
          <wp:inline distT="0" distB="0" distL="0" distR="0" wp14:anchorId="73415626" wp14:editId="2C92E8E4">
            <wp:extent cx="4367530" cy="10115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67530" cy="1011555"/>
                    </a:xfrm>
                    <a:prstGeom prst="rect">
                      <a:avLst/>
                    </a:prstGeom>
                    <a:noFill/>
                    <a:ln>
                      <a:noFill/>
                    </a:ln>
                  </pic:spPr>
                </pic:pic>
              </a:graphicData>
            </a:graphic>
          </wp:inline>
        </w:drawing>
      </w:r>
    </w:p>
    <w:p w14:paraId="4AD2D43D" w14:textId="77777777" w:rsidR="00EC262D" w:rsidRPr="00EC262D" w:rsidRDefault="00EC262D" w:rsidP="00EC262D">
      <w:pPr>
        <w:jc w:val="both"/>
        <w:outlineLvl w:val="0"/>
      </w:pPr>
    </w:p>
    <w:p w14:paraId="485D2513" w14:textId="77777777" w:rsidR="00EC262D" w:rsidRPr="00EC262D" w:rsidRDefault="00EC262D" w:rsidP="00EC262D">
      <w:pPr>
        <w:jc w:val="both"/>
        <w:outlineLvl w:val="0"/>
        <w:rPr>
          <w:b/>
          <w:bCs/>
          <w:i/>
          <w:u w:val="single"/>
        </w:rPr>
      </w:pPr>
      <w:r w:rsidRPr="00EC262D">
        <w:rPr>
          <w:b/>
          <w:bCs/>
          <w:i/>
          <w:u w:val="single"/>
        </w:rPr>
        <w:lastRenderedPageBreak/>
        <w:t>Fondos y bienes de terceros en garantía y/o administración a largo plazo</w:t>
      </w:r>
    </w:p>
    <w:p w14:paraId="3864374C" w14:textId="77777777" w:rsidR="00EC262D" w:rsidRPr="00EC262D" w:rsidRDefault="00EC262D" w:rsidP="00EC262D">
      <w:pPr>
        <w:tabs>
          <w:tab w:val="left" w:pos="1418"/>
        </w:tabs>
        <w:autoSpaceDE w:val="0"/>
        <w:autoSpaceDN w:val="0"/>
        <w:adjustRightInd w:val="0"/>
        <w:jc w:val="both"/>
        <w:rPr>
          <w:b/>
          <w:i/>
        </w:rPr>
      </w:pPr>
    </w:p>
    <w:p w14:paraId="77AA3FF0" w14:textId="77777777" w:rsidR="00EC262D" w:rsidRPr="00EC262D" w:rsidRDefault="00EC262D" w:rsidP="00EC262D">
      <w:pPr>
        <w:jc w:val="both"/>
        <w:outlineLvl w:val="0"/>
      </w:pPr>
      <w:r w:rsidRPr="00EC262D">
        <w:t xml:space="preserve">Este rubro al 31 de marzo de 2024, asciende a $ 378,924,946 pesos </w:t>
      </w:r>
      <w:r w:rsidRPr="00EC262D">
        <w:rPr>
          <w:bCs/>
        </w:rPr>
        <w:t xml:space="preserve">y representa el 26.9 % del pasivo no circulante, mismo que </w:t>
      </w:r>
      <w:r w:rsidRPr="00EC262D">
        <w:t>se integra por préstamos por pagar, recuperación de préstamos por aplicar, descuentos indebidos derivado de préstamos, intereses cobrados del fondo de préstamos, 1 % de cuotas y aportaciones del fondo de préstamos, así como, rendimientos de cuentas bancarias.</w:t>
      </w:r>
    </w:p>
    <w:p w14:paraId="5963D884" w14:textId="77777777" w:rsidR="00EC262D" w:rsidRPr="00EC262D" w:rsidRDefault="00EC262D" w:rsidP="00EC262D">
      <w:pPr>
        <w:jc w:val="both"/>
        <w:outlineLvl w:val="0"/>
      </w:pPr>
    </w:p>
    <w:p w14:paraId="66762362" w14:textId="77777777" w:rsidR="00EC262D" w:rsidRPr="00EC262D" w:rsidRDefault="00EC262D" w:rsidP="00EC262D">
      <w:pPr>
        <w:jc w:val="center"/>
        <w:outlineLvl w:val="0"/>
      </w:pPr>
      <w:r w:rsidRPr="00EC262D">
        <w:rPr>
          <w:rFonts w:asciiTheme="minorHAnsi" w:hAnsiTheme="minorHAnsi"/>
          <w:noProof/>
          <w:sz w:val="22"/>
          <w:lang w:eastAsia="es-MX"/>
        </w:rPr>
        <w:drawing>
          <wp:inline distT="0" distB="0" distL="0" distR="0" wp14:anchorId="1AFD3AB0" wp14:editId="7FC12CD4">
            <wp:extent cx="4367530" cy="1274445"/>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7530" cy="1274445"/>
                    </a:xfrm>
                    <a:prstGeom prst="rect">
                      <a:avLst/>
                    </a:prstGeom>
                    <a:noFill/>
                    <a:ln>
                      <a:noFill/>
                    </a:ln>
                  </pic:spPr>
                </pic:pic>
              </a:graphicData>
            </a:graphic>
          </wp:inline>
        </w:drawing>
      </w:r>
    </w:p>
    <w:p w14:paraId="5D3841DD" w14:textId="77777777" w:rsidR="00EC262D" w:rsidRPr="00EC262D" w:rsidRDefault="00EC262D" w:rsidP="00EC262D">
      <w:pPr>
        <w:jc w:val="both"/>
        <w:outlineLvl w:val="0"/>
      </w:pPr>
    </w:p>
    <w:p w14:paraId="52439E44" w14:textId="77777777" w:rsidR="00EC262D" w:rsidRPr="00EC262D" w:rsidRDefault="00EC262D" w:rsidP="00EC262D">
      <w:pPr>
        <w:jc w:val="both"/>
        <w:outlineLvl w:val="0"/>
      </w:pPr>
    </w:p>
    <w:p w14:paraId="071B6E86" w14:textId="77777777" w:rsidR="00EC262D" w:rsidRPr="00EC262D" w:rsidRDefault="00EC262D" w:rsidP="00EC262D">
      <w:pPr>
        <w:jc w:val="both"/>
        <w:rPr>
          <w:rFonts w:eastAsia="Calibri" w:cs="Arial"/>
          <w:b/>
          <w:bCs/>
          <w:caps/>
          <w:szCs w:val="20"/>
          <w:lang w:val="es-ES" w:eastAsia="es-ES"/>
        </w:rPr>
      </w:pPr>
      <w:r w:rsidRPr="00EC262D">
        <w:rPr>
          <w:rFonts w:eastAsia="Calibri" w:cs="Arial"/>
          <w:b/>
          <w:bCs/>
          <w:szCs w:val="20"/>
          <w:lang w:val="es-ES" w:eastAsia="es-ES"/>
        </w:rPr>
        <w:t xml:space="preserve">Notas al estado de variación en la hacienda pública </w:t>
      </w:r>
    </w:p>
    <w:p w14:paraId="426BB9A9" w14:textId="77777777" w:rsidR="00EC262D" w:rsidRPr="00EC262D" w:rsidRDefault="00EC262D" w:rsidP="00EC262D">
      <w:pPr>
        <w:jc w:val="both"/>
        <w:outlineLvl w:val="0"/>
      </w:pPr>
    </w:p>
    <w:p w14:paraId="39BE5DF7" w14:textId="77777777" w:rsidR="00EC262D" w:rsidRPr="00EC262D" w:rsidRDefault="00EC262D" w:rsidP="00EC262D">
      <w:pPr>
        <w:jc w:val="both"/>
        <w:outlineLvl w:val="0"/>
      </w:pPr>
      <w:r w:rsidRPr="00EC262D">
        <w:t>La hacienda pública representa el importe de los bienes y derechos que son propiedad del Instituto de Seguridad Social de Los Trabajadores del Estado de Chiapas, dicho importe es modificado principalmente por el resultado positivo obtenido al 31 de marzo del 2024, el cual asciende a un saldo positivo de $ 420,532,324 pesos.</w:t>
      </w:r>
    </w:p>
    <w:p w14:paraId="572790D7" w14:textId="77777777" w:rsidR="00EC262D" w:rsidRPr="00EC262D" w:rsidRDefault="00EC262D" w:rsidP="00EC262D">
      <w:pPr>
        <w:jc w:val="both"/>
        <w:outlineLvl w:val="0"/>
      </w:pPr>
    </w:p>
    <w:p w14:paraId="23EC6638" w14:textId="77777777" w:rsidR="00EC262D" w:rsidRPr="00EC262D" w:rsidRDefault="00EC262D" w:rsidP="00EC262D">
      <w:pPr>
        <w:jc w:val="both"/>
        <w:outlineLvl w:val="0"/>
      </w:pPr>
      <w:r w:rsidRPr="00EC262D">
        <w:t>El estado de variación en la hacienda pública así también presenta las modificaciones o cambios realizados en la hacienda pública, dichas variaciones representan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pública refleja un saldo de $ 1,187,978,792 pesos.</w:t>
      </w:r>
    </w:p>
    <w:p w14:paraId="3F1A2B37" w14:textId="77777777" w:rsidR="00EC262D" w:rsidRPr="00EC262D" w:rsidRDefault="00EC262D" w:rsidP="00EC262D">
      <w:pPr>
        <w:jc w:val="both"/>
        <w:outlineLvl w:val="0"/>
      </w:pPr>
    </w:p>
    <w:p w14:paraId="69F8B1A6" w14:textId="77777777" w:rsidR="00EC262D" w:rsidRPr="00EC262D" w:rsidRDefault="00EC262D" w:rsidP="00EC262D">
      <w:pPr>
        <w:jc w:val="both"/>
        <w:outlineLvl w:val="0"/>
      </w:pPr>
      <w:r w:rsidRPr="00EC262D">
        <w:t>Así también, es modificado por el aumento o disminución al patrimonio, derivado del registro de movimientos realizados durante el periodo que se informa. A la fecha que se informa la modificación neta positiva al patrimonio es de $ 422,359,734 pesos.</w:t>
      </w:r>
    </w:p>
    <w:p w14:paraId="04C410E3" w14:textId="77777777" w:rsidR="00EC262D" w:rsidRPr="00EC262D" w:rsidRDefault="00EC262D" w:rsidP="00EC262D">
      <w:pPr>
        <w:jc w:val="both"/>
        <w:outlineLvl w:val="0"/>
      </w:pPr>
    </w:p>
    <w:p w14:paraId="70C8974C"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Notas al estado de flujos de efectivo</w:t>
      </w:r>
    </w:p>
    <w:p w14:paraId="5A613FB6" w14:textId="77777777" w:rsidR="00EC262D" w:rsidRPr="00EC262D" w:rsidRDefault="00EC262D" w:rsidP="00EC262D">
      <w:pPr>
        <w:jc w:val="both"/>
        <w:outlineLvl w:val="0"/>
        <w:rPr>
          <w:highlight w:val="cyan"/>
        </w:rPr>
      </w:pPr>
    </w:p>
    <w:p w14:paraId="5FD601C1" w14:textId="77777777" w:rsidR="00EC262D" w:rsidRPr="00EC262D" w:rsidRDefault="00EC262D" w:rsidP="00EC262D">
      <w:pPr>
        <w:tabs>
          <w:tab w:val="left" w:pos="6840"/>
        </w:tabs>
        <w:jc w:val="both"/>
        <w:outlineLvl w:val="0"/>
      </w:pPr>
      <w:r w:rsidRPr="00EC262D">
        <w:t>El estado de flujos de efectivo de las Instituciones Públicas de Seguridad Social, muestra los flujos de efectivo, conformado por los elementos básicos: origen y aplicación de los recursos.</w:t>
      </w:r>
    </w:p>
    <w:p w14:paraId="300E44BF" w14:textId="77777777" w:rsidR="00EC262D" w:rsidRPr="00EC262D" w:rsidRDefault="00EC262D" w:rsidP="00EC262D">
      <w:pPr>
        <w:tabs>
          <w:tab w:val="left" w:pos="6840"/>
        </w:tabs>
        <w:jc w:val="both"/>
        <w:outlineLvl w:val="0"/>
      </w:pPr>
    </w:p>
    <w:p w14:paraId="2E7021FD" w14:textId="77777777" w:rsidR="00EC262D" w:rsidRPr="00EC262D" w:rsidRDefault="00EC262D" w:rsidP="00EC262D">
      <w:pPr>
        <w:tabs>
          <w:tab w:val="left" w:pos="6840"/>
        </w:tabs>
        <w:jc w:val="both"/>
        <w:outlineLvl w:val="0"/>
      </w:pPr>
      <w:r w:rsidRPr="00EC262D">
        <w:t>La disminución neta en el efectivo y equivalentes al efectivo al 31 de marzo de 2024 asciende a $ 88,811,009 pesos.</w:t>
      </w:r>
    </w:p>
    <w:p w14:paraId="1ED4AF25" w14:textId="77777777" w:rsidR="00EC262D" w:rsidRPr="00EC262D" w:rsidRDefault="00EC262D" w:rsidP="00EC262D">
      <w:pPr>
        <w:tabs>
          <w:tab w:val="left" w:pos="6840"/>
        </w:tabs>
        <w:jc w:val="both"/>
        <w:outlineLvl w:val="0"/>
      </w:pPr>
    </w:p>
    <w:p w14:paraId="604FD5D0"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Flujo de efectivo de las actividades de operación</w:t>
      </w:r>
    </w:p>
    <w:p w14:paraId="71CA6F51" w14:textId="77777777" w:rsidR="00EC262D" w:rsidRPr="00EC262D" w:rsidRDefault="00EC262D" w:rsidP="00EC262D">
      <w:pPr>
        <w:jc w:val="both"/>
        <w:rPr>
          <w:rFonts w:eastAsia="Calibri" w:cs="Arial"/>
          <w:b/>
          <w:bCs/>
          <w:color w:val="B09A5B"/>
          <w:szCs w:val="20"/>
          <w:lang w:val="es-ES" w:eastAsia="es-ES"/>
        </w:rPr>
      </w:pPr>
    </w:p>
    <w:p w14:paraId="7E1D5FB2" w14:textId="77777777" w:rsidR="00EC262D" w:rsidRPr="00EC262D" w:rsidRDefault="00EC262D" w:rsidP="00EC262D">
      <w:pPr>
        <w:jc w:val="both"/>
        <w:outlineLvl w:val="0"/>
        <w:rPr>
          <w:bCs/>
        </w:rPr>
      </w:pPr>
      <w:r w:rsidRPr="00EC262D">
        <w:rPr>
          <w:bCs/>
        </w:rPr>
        <w:t>Durante el periodo que se informa, las Instituciones Públicas de Seguridad Social recibieron ingresos de gestión por la cantidad de $ 1,746,924,580 pesos. El gasto de funcionamiento devengado por el periodo comprendido del 1 de enero al 31 de marzo de 2024, asciende a $ 1,326,392,256 pesos, el cual refleja un flujo neto positivo por actividades de operación por un importe de $ 420,532,324 pesos.</w:t>
      </w:r>
    </w:p>
    <w:p w14:paraId="47ED37CF" w14:textId="77777777" w:rsidR="00EC262D" w:rsidRPr="00EC262D" w:rsidRDefault="00EC262D" w:rsidP="00EC262D">
      <w:pPr>
        <w:jc w:val="both"/>
        <w:outlineLvl w:val="0"/>
        <w:rPr>
          <w:bCs/>
        </w:rPr>
      </w:pPr>
    </w:p>
    <w:p w14:paraId="2132C076"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Flujo de efectivo de las actividades de inversión</w:t>
      </w:r>
    </w:p>
    <w:p w14:paraId="330E3A52" w14:textId="77777777" w:rsidR="00EC262D" w:rsidRPr="00EC262D" w:rsidRDefault="00EC262D" w:rsidP="00EC262D">
      <w:pPr>
        <w:jc w:val="both"/>
        <w:outlineLvl w:val="0"/>
        <w:rPr>
          <w:b/>
          <w:bCs/>
        </w:rPr>
      </w:pPr>
    </w:p>
    <w:p w14:paraId="43E03242" w14:textId="77777777" w:rsidR="00EC262D" w:rsidRPr="00EC262D" w:rsidRDefault="00EC262D" w:rsidP="00EC262D">
      <w:pPr>
        <w:jc w:val="both"/>
        <w:outlineLvl w:val="0"/>
        <w:rPr>
          <w:bCs/>
        </w:rPr>
      </w:pPr>
      <w:r w:rsidRPr="00EC262D">
        <w:rPr>
          <w:bCs/>
        </w:rPr>
        <w:t>Durante el periodo que se informa, las Instituciones de Seguridad Social recibieron ingresos de inversión por la cantidad de $ 260,602,946 pesos. El gasto de funcionamiento devengado por el periodo comprendido del 1 de enero al 31 de marzo de 2024, asciende a $ 699,839,537 pesos, el cual refleja un flujo neto a la baja por actividades de inversión por un importe de $ 439,236,591 pesos.</w:t>
      </w:r>
    </w:p>
    <w:p w14:paraId="6E34E834" w14:textId="77777777" w:rsidR="00EC262D" w:rsidRPr="00EC262D" w:rsidRDefault="00EC262D" w:rsidP="00EC262D">
      <w:pPr>
        <w:jc w:val="both"/>
        <w:outlineLvl w:val="0"/>
        <w:rPr>
          <w:bCs/>
        </w:rPr>
      </w:pPr>
    </w:p>
    <w:p w14:paraId="693F9CC1" w14:textId="77777777" w:rsidR="00EC262D" w:rsidRDefault="00EC262D">
      <w:pPr>
        <w:spacing w:after="160" w:line="259" w:lineRule="auto"/>
        <w:rPr>
          <w:rFonts w:eastAsia="Calibri" w:cs="Arial"/>
          <w:b/>
          <w:bCs/>
          <w:szCs w:val="20"/>
          <w:lang w:val="es-ES" w:eastAsia="es-ES"/>
        </w:rPr>
      </w:pPr>
      <w:r>
        <w:rPr>
          <w:rFonts w:eastAsia="Calibri" w:cs="Arial"/>
          <w:b/>
          <w:bCs/>
          <w:szCs w:val="20"/>
          <w:lang w:val="es-ES" w:eastAsia="es-ES"/>
        </w:rPr>
        <w:br w:type="page"/>
      </w:r>
    </w:p>
    <w:p w14:paraId="7EBCF69E" w14:textId="6F74A735"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lastRenderedPageBreak/>
        <w:t>Flujo de efectivo de las actividades de financiamiento</w:t>
      </w:r>
    </w:p>
    <w:p w14:paraId="324E029C" w14:textId="77777777" w:rsidR="00EC262D" w:rsidRPr="00EC262D" w:rsidRDefault="00EC262D" w:rsidP="00EC262D">
      <w:pPr>
        <w:jc w:val="both"/>
        <w:outlineLvl w:val="0"/>
        <w:rPr>
          <w:b/>
          <w:bCs/>
        </w:rPr>
      </w:pPr>
    </w:p>
    <w:p w14:paraId="75C6F435" w14:textId="77777777" w:rsidR="00EC262D" w:rsidRPr="00EC262D" w:rsidRDefault="00EC262D" w:rsidP="00EC262D">
      <w:pPr>
        <w:jc w:val="both"/>
        <w:outlineLvl w:val="0"/>
        <w:rPr>
          <w:bCs/>
        </w:rPr>
      </w:pPr>
      <w:r w:rsidRPr="00EC262D">
        <w:rPr>
          <w:bCs/>
        </w:rPr>
        <w:t>Durante el periodo que se informa, las Instituciones Públicas de Seguridad Social recibió ingresos de financiamiento por la cantidad de $ 31,113,092 pesos. El gasto de funcionamiento devengado por el periodo comprendido del 1 de enero al 31 de marzo de 2024, asciende a $ 101,219,834 pesos, el cual refleja un flujo neto negativo por actividades de financiamiento por un importe de $ 70,106,742 pesos.</w:t>
      </w:r>
    </w:p>
    <w:p w14:paraId="6C9397C7" w14:textId="77777777" w:rsidR="00EC262D" w:rsidRPr="00EC262D" w:rsidRDefault="00EC262D" w:rsidP="00EC262D">
      <w:pPr>
        <w:jc w:val="both"/>
        <w:outlineLvl w:val="0"/>
        <w:rPr>
          <w:b/>
          <w:bCs/>
        </w:rPr>
      </w:pPr>
    </w:p>
    <w:p w14:paraId="75329750"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Efectivo y equivalentes al efectivo al final del ejercicio</w:t>
      </w:r>
    </w:p>
    <w:p w14:paraId="30E3D92A" w14:textId="77777777" w:rsidR="00EC262D" w:rsidRPr="00EC262D" w:rsidRDefault="00EC262D" w:rsidP="00EC262D">
      <w:pPr>
        <w:jc w:val="both"/>
        <w:outlineLvl w:val="0"/>
        <w:rPr>
          <w:b/>
          <w:bCs/>
        </w:rPr>
      </w:pPr>
    </w:p>
    <w:p w14:paraId="300EF8E6" w14:textId="77777777" w:rsidR="00EC262D" w:rsidRPr="00EC262D" w:rsidRDefault="00EC262D" w:rsidP="00EC262D">
      <w:pPr>
        <w:jc w:val="both"/>
        <w:outlineLvl w:val="0"/>
        <w:rPr>
          <w:bCs/>
        </w:rPr>
      </w:pPr>
      <w:r w:rsidRPr="00EC262D">
        <w:rPr>
          <w:bCs/>
        </w:rPr>
        <w:t xml:space="preserve">Las cifras del efectivo y equivalentes al efectivo, al final del ejercicio que figuran en la última parte del Estado de Flujos de Efectivo de las Instituciones Públicas de Seguridad Social. </w:t>
      </w:r>
    </w:p>
    <w:p w14:paraId="496F64D3" w14:textId="77777777" w:rsidR="00EC262D" w:rsidRPr="00EC262D" w:rsidRDefault="00EC262D" w:rsidP="00EC262D">
      <w:pPr>
        <w:jc w:val="both"/>
        <w:outlineLvl w:val="0"/>
        <w:rPr>
          <w:b/>
          <w:bCs/>
        </w:rPr>
      </w:pPr>
    </w:p>
    <w:p w14:paraId="517BC140" w14:textId="77777777" w:rsidR="00EC262D" w:rsidRPr="00EC262D" w:rsidRDefault="00EC262D" w:rsidP="00EC262D">
      <w:pPr>
        <w:jc w:val="center"/>
        <w:outlineLvl w:val="0"/>
        <w:rPr>
          <w:b/>
          <w:bCs/>
        </w:rPr>
      </w:pPr>
      <w:r w:rsidRPr="00EC262D">
        <w:rPr>
          <w:rFonts w:asciiTheme="minorHAnsi" w:hAnsiTheme="minorHAnsi"/>
          <w:noProof/>
          <w:sz w:val="22"/>
          <w:lang w:eastAsia="es-MX"/>
        </w:rPr>
        <w:drawing>
          <wp:inline distT="0" distB="0" distL="0" distR="0" wp14:anchorId="30E1B861" wp14:editId="5E6B2259">
            <wp:extent cx="4153535" cy="10896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3535" cy="1089660"/>
                    </a:xfrm>
                    <a:prstGeom prst="rect">
                      <a:avLst/>
                    </a:prstGeom>
                    <a:noFill/>
                    <a:ln>
                      <a:noFill/>
                    </a:ln>
                  </pic:spPr>
                </pic:pic>
              </a:graphicData>
            </a:graphic>
          </wp:inline>
        </w:drawing>
      </w:r>
    </w:p>
    <w:p w14:paraId="13B1A2D9" w14:textId="77777777" w:rsidR="00EC262D" w:rsidRPr="00EC262D" w:rsidRDefault="00EC262D" w:rsidP="00EC262D">
      <w:pPr>
        <w:jc w:val="both"/>
        <w:outlineLvl w:val="0"/>
        <w:rPr>
          <w:b/>
          <w:bCs/>
        </w:rPr>
      </w:pPr>
    </w:p>
    <w:p w14:paraId="20C11635" w14:textId="77777777" w:rsidR="00EC262D" w:rsidRPr="00EC262D" w:rsidRDefault="00EC262D" w:rsidP="00EC262D">
      <w:pPr>
        <w:jc w:val="both"/>
        <w:outlineLvl w:val="0"/>
        <w:rPr>
          <w:b/>
          <w:bCs/>
        </w:rPr>
      </w:pPr>
    </w:p>
    <w:p w14:paraId="2A7DABA6"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 xml:space="preserve">Efectivo y equivalentes </w:t>
      </w:r>
    </w:p>
    <w:p w14:paraId="322EC238" w14:textId="77777777" w:rsidR="00EC262D" w:rsidRPr="00EC262D" w:rsidRDefault="00EC262D" w:rsidP="00EC262D">
      <w:pPr>
        <w:jc w:val="both"/>
        <w:outlineLvl w:val="0"/>
        <w:rPr>
          <w:b/>
          <w:bCs/>
        </w:rPr>
      </w:pPr>
    </w:p>
    <w:p w14:paraId="46DD99B0" w14:textId="77777777" w:rsidR="00EC262D" w:rsidRPr="00EC262D" w:rsidRDefault="00EC262D" w:rsidP="00EC262D">
      <w:pPr>
        <w:jc w:val="both"/>
        <w:outlineLvl w:val="0"/>
        <w:rPr>
          <w:bCs/>
        </w:rPr>
      </w:pPr>
      <w:r w:rsidRPr="00EC262D">
        <w:rPr>
          <w:bCs/>
        </w:rPr>
        <w:t>El análisis de los saldos inicial y final de efectivo y equivalentes al efectivo, al final del ejercicio del estado de flujos de efectivo, respecto a la composición del rubro efectivo y equivalentes es como sigue:</w:t>
      </w:r>
    </w:p>
    <w:p w14:paraId="3E5DC962" w14:textId="77777777" w:rsidR="00EC262D" w:rsidRPr="00EC262D" w:rsidRDefault="00EC262D" w:rsidP="00EC262D">
      <w:pPr>
        <w:jc w:val="both"/>
        <w:outlineLvl w:val="0"/>
        <w:rPr>
          <w:b/>
          <w:bCs/>
        </w:rPr>
      </w:pPr>
    </w:p>
    <w:p w14:paraId="2F038347" w14:textId="77777777" w:rsidR="00EC262D" w:rsidRPr="00EC262D" w:rsidRDefault="00EC262D" w:rsidP="00EC262D">
      <w:pPr>
        <w:tabs>
          <w:tab w:val="left" w:pos="6840"/>
        </w:tabs>
        <w:jc w:val="center"/>
        <w:outlineLvl w:val="0"/>
      </w:pPr>
      <w:r w:rsidRPr="00EC262D">
        <w:rPr>
          <w:rFonts w:asciiTheme="minorHAnsi" w:hAnsiTheme="minorHAnsi"/>
          <w:noProof/>
          <w:sz w:val="22"/>
          <w:lang w:eastAsia="es-MX"/>
        </w:rPr>
        <w:drawing>
          <wp:inline distT="0" distB="0" distL="0" distR="0" wp14:anchorId="4F11AA9D" wp14:editId="73CB33A8">
            <wp:extent cx="4153535" cy="252920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3535" cy="2529205"/>
                    </a:xfrm>
                    <a:prstGeom prst="rect">
                      <a:avLst/>
                    </a:prstGeom>
                    <a:noFill/>
                    <a:ln>
                      <a:noFill/>
                    </a:ln>
                  </pic:spPr>
                </pic:pic>
              </a:graphicData>
            </a:graphic>
          </wp:inline>
        </w:drawing>
      </w:r>
    </w:p>
    <w:p w14:paraId="34D009FE" w14:textId="77777777" w:rsidR="00EC262D" w:rsidRPr="00EC262D" w:rsidRDefault="00EC262D" w:rsidP="00EC262D">
      <w:pPr>
        <w:tabs>
          <w:tab w:val="left" w:pos="6840"/>
        </w:tabs>
        <w:jc w:val="both"/>
        <w:outlineLvl w:val="0"/>
        <w:rPr>
          <w:i/>
        </w:rPr>
      </w:pPr>
    </w:p>
    <w:p w14:paraId="2C1C2EE4" w14:textId="77777777" w:rsidR="00EC262D" w:rsidRPr="00EC262D" w:rsidRDefault="00EC262D" w:rsidP="00EC262D">
      <w:pPr>
        <w:tabs>
          <w:tab w:val="left" w:pos="6840"/>
        </w:tabs>
        <w:jc w:val="both"/>
        <w:outlineLvl w:val="0"/>
        <w:rPr>
          <w:i/>
        </w:rPr>
      </w:pPr>
    </w:p>
    <w:p w14:paraId="1088EA45"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Adquisiciones de las Actividades de Inversión efectivamente pagadas</w:t>
      </w:r>
    </w:p>
    <w:p w14:paraId="6F901621" w14:textId="77777777" w:rsidR="00EC262D" w:rsidRPr="00EC262D" w:rsidRDefault="00EC262D" w:rsidP="00EC262D">
      <w:pPr>
        <w:jc w:val="both"/>
        <w:outlineLvl w:val="0"/>
        <w:rPr>
          <w:b/>
          <w:bCs/>
        </w:rPr>
      </w:pPr>
    </w:p>
    <w:p w14:paraId="05ADF19E" w14:textId="77777777" w:rsidR="00EC262D" w:rsidRPr="00EC262D" w:rsidRDefault="00EC262D" w:rsidP="00EC262D">
      <w:pPr>
        <w:jc w:val="both"/>
        <w:outlineLvl w:val="0"/>
        <w:rPr>
          <w:bCs/>
        </w:rPr>
      </w:pPr>
      <w:r w:rsidRPr="00EC262D">
        <w:rPr>
          <w:bCs/>
        </w:rPr>
        <w:t>Al 31 de marzo de 2024, se realizaron adquisiciones de las Actividades de Inversión efectivamente pagadas, respecto al apartado de aplicación, mismas que a continuación se describen:</w:t>
      </w:r>
    </w:p>
    <w:p w14:paraId="7D1AF729" w14:textId="77777777" w:rsidR="00EC262D" w:rsidRPr="00EC262D" w:rsidRDefault="00EC262D" w:rsidP="00EC262D">
      <w:pPr>
        <w:jc w:val="both"/>
        <w:outlineLvl w:val="0"/>
        <w:rPr>
          <w:bCs/>
        </w:rPr>
      </w:pPr>
    </w:p>
    <w:p w14:paraId="0E88EC04" w14:textId="77777777" w:rsidR="00EC262D" w:rsidRPr="00EC262D" w:rsidRDefault="00EC262D" w:rsidP="00EC262D">
      <w:pPr>
        <w:jc w:val="center"/>
        <w:outlineLvl w:val="0"/>
        <w:rPr>
          <w:bCs/>
        </w:rPr>
      </w:pPr>
      <w:r w:rsidRPr="00EC262D">
        <w:rPr>
          <w:rFonts w:asciiTheme="minorHAnsi" w:hAnsiTheme="minorHAnsi"/>
          <w:noProof/>
          <w:sz w:val="22"/>
          <w:lang w:eastAsia="es-MX"/>
        </w:rPr>
        <w:lastRenderedPageBreak/>
        <w:drawing>
          <wp:inline distT="0" distB="0" distL="0" distR="0" wp14:anchorId="5589A014" wp14:editId="1BCEF669">
            <wp:extent cx="4153535" cy="39395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3535" cy="3939540"/>
                    </a:xfrm>
                    <a:prstGeom prst="rect">
                      <a:avLst/>
                    </a:prstGeom>
                    <a:noFill/>
                    <a:ln>
                      <a:noFill/>
                    </a:ln>
                  </pic:spPr>
                </pic:pic>
              </a:graphicData>
            </a:graphic>
          </wp:inline>
        </w:drawing>
      </w:r>
    </w:p>
    <w:p w14:paraId="35D2FC58" w14:textId="77777777" w:rsidR="00EC262D" w:rsidRPr="00EC262D" w:rsidRDefault="00EC262D" w:rsidP="00EC262D">
      <w:pPr>
        <w:tabs>
          <w:tab w:val="left" w:pos="6840"/>
        </w:tabs>
        <w:jc w:val="both"/>
        <w:outlineLvl w:val="0"/>
      </w:pPr>
    </w:p>
    <w:p w14:paraId="7A2779DB" w14:textId="77777777" w:rsidR="00EC262D" w:rsidRPr="00EC262D" w:rsidRDefault="00EC262D" w:rsidP="00EC262D">
      <w:pPr>
        <w:jc w:val="both"/>
        <w:rPr>
          <w:rFonts w:eastAsia="Calibri" w:cs="Arial"/>
          <w:b/>
          <w:bCs/>
          <w:szCs w:val="20"/>
          <w:lang w:val="es-ES" w:eastAsia="es-ES"/>
        </w:rPr>
      </w:pPr>
    </w:p>
    <w:p w14:paraId="577AC81C"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Conciliación de Flujos de Efectivo Netos</w:t>
      </w:r>
    </w:p>
    <w:p w14:paraId="1C5BB643" w14:textId="77777777" w:rsidR="00EC262D" w:rsidRPr="00EC262D" w:rsidRDefault="00EC262D" w:rsidP="00EC262D">
      <w:pPr>
        <w:spacing w:line="259" w:lineRule="auto"/>
        <w:rPr>
          <w:bCs/>
        </w:rPr>
      </w:pPr>
    </w:p>
    <w:p w14:paraId="056BE4E3" w14:textId="77777777" w:rsidR="00EC262D" w:rsidRPr="00EC262D" w:rsidRDefault="00EC262D" w:rsidP="00EC262D">
      <w:pPr>
        <w:spacing w:line="259" w:lineRule="auto"/>
        <w:jc w:val="both"/>
      </w:pPr>
      <w:r w:rsidRPr="00EC262D">
        <w:rPr>
          <w:bCs/>
        </w:rPr>
        <w:t>A continuación, se presenta la conciliación de los flujos de efectivo netos de las actividades de operación y saldos de resultados del ejercicio (ahorro/desahorro):</w:t>
      </w:r>
    </w:p>
    <w:p w14:paraId="173882F4" w14:textId="77777777" w:rsidR="00EC262D" w:rsidRPr="00EC262D" w:rsidRDefault="00EC262D" w:rsidP="00EC262D">
      <w:pPr>
        <w:jc w:val="both"/>
        <w:rPr>
          <w:rFonts w:eastAsia="Calibri" w:cs="Arial"/>
          <w:b/>
          <w:bCs/>
          <w:szCs w:val="20"/>
          <w:lang w:eastAsia="es-ES"/>
        </w:rPr>
      </w:pPr>
    </w:p>
    <w:p w14:paraId="6E047DBD" w14:textId="77777777" w:rsidR="00EC262D" w:rsidRPr="00EC262D" w:rsidRDefault="00EC262D" w:rsidP="00EC262D">
      <w:pPr>
        <w:jc w:val="both"/>
        <w:rPr>
          <w:rFonts w:eastAsia="Calibri" w:cs="Arial"/>
          <w:b/>
          <w:bCs/>
          <w:szCs w:val="20"/>
          <w:lang w:val="es-ES" w:eastAsia="es-ES"/>
        </w:rPr>
      </w:pPr>
      <w:r w:rsidRPr="00EC262D">
        <w:rPr>
          <w:rFonts w:eastAsia="Calibri" w:cs="Arial"/>
          <w:b/>
          <w:bCs/>
          <w:noProof/>
          <w:szCs w:val="20"/>
          <w:lang w:eastAsia="es-MX"/>
        </w:rPr>
        <w:drawing>
          <wp:inline distT="0" distB="0" distL="0" distR="0" wp14:anchorId="6DCFD722" wp14:editId="597D2E02">
            <wp:extent cx="6331585" cy="17276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1585" cy="1727655"/>
                    </a:xfrm>
                    <a:prstGeom prst="rect">
                      <a:avLst/>
                    </a:prstGeom>
                    <a:noFill/>
                    <a:ln>
                      <a:noFill/>
                    </a:ln>
                  </pic:spPr>
                </pic:pic>
              </a:graphicData>
            </a:graphic>
          </wp:inline>
        </w:drawing>
      </w:r>
    </w:p>
    <w:p w14:paraId="3D58B738" w14:textId="77777777" w:rsidR="00EC262D" w:rsidRPr="00EC262D" w:rsidRDefault="00EC262D" w:rsidP="00EC262D">
      <w:pPr>
        <w:jc w:val="both"/>
        <w:rPr>
          <w:rFonts w:eastAsia="Calibri" w:cs="Arial"/>
          <w:b/>
          <w:bCs/>
          <w:szCs w:val="20"/>
          <w:lang w:val="es-ES" w:eastAsia="es-ES"/>
        </w:rPr>
      </w:pPr>
    </w:p>
    <w:p w14:paraId="0F79A70E" w14:textId="77777777" w:rsidR="00EC262D" w:rsidRPr="00EC262D" w:rsidRDefault="00EC262D" w:rsidP="00EC262D">
      <w:pPr>
        <w:jc w:val="both"/>
        <w:rPr>
          <w:rFonts w:eastAsia="Calibri" w:cs="Arial"/>
          <w:b/>
          <w:bCs/>
          <w:szCs w:val="20"/>
          <w:lang w:val="es-ES" w:eastAsia="es-ES"/>
        </w:rPr>
      </w:pPr>
    </w:p>
    <w:p w14:paraId="490A710B"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Conciliación entre los ingresos presupuestarios y contables, así como entre los egresos presupuestarios y los gastos contables</w:t>
      </w:r>
    </w:p>
    <w:p w14:paraId="309F8C3D" w14:textId="77777777" w:rsidR="00EC262D" w:rsidRPr="00EC262D" w:rsidRDefault="00EC262D" w:rsidP="00EC262D">
      <w:pPr>
        <w:spacing w:line="259" w:lineRule="auto"/>
        <w:jc w:val="both"/>
        <w:rPr>
          <w:bCs/>
        </w:rPr>
      </w:pPr>
    </w:p>
    <w:p w14:paraId="73D3C072" w14:textId="77777777" w:rsidR="00EC262D" w:rsidRPr="00EC262D" w:rsidRDefault="00EC262D" w:rsidP="00EC262D">
      <w:pPr>
        <w:spacing w:line="259" w:lineRule="auto"/>
        <w:jc w:val="both"/>
      </w:pPr>
      <w:r w:rsidRPr="00EC262D">
        <w:rPr>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Instituciones Públicas de Seguridad Social, correspondiente del 1 de enero al 31 de marzo de 2024:</w:t>
      </w:r>
    </w:p>
    <w:p w14:paraId="4706D1C3" w14:textId="77777777" w:rsidR="00EC262D" w:rsidRPr="00EC262D" w:rsidRDefault="00EC262D" w:rsidP="00EC262D">
      <w:pPr>
        <w:jc w:val="both"/>
        <w:outlineLvl w:val="0"/>
      </w:pPr>
      <w:r w:rsidRPr="00EC262D">
        <w:rPr>
          <w:rFonts w:asciiTheme="minorHAnsi" w:hAnsiTheme="minorHAnsi"/>
          <w:noProof/>
          <w:sz w:val="22"/>
          <w:lang w:eastAsia="es-MX"/>
        </w:rPr>
        <w:lastRenderedPageBreak/>
        <w:drawing>
          <wp:inline distT="0" distB="0" distL="0" distR="0" wp14:anchorId="325AE9E7" wp14:editId="64CC2153">
            <wp:extent cx="6331585" cy="3497747"/>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1585" cy="3497747"/>
                    </a:xfrm>
                    <a:prstGeom prst="rect">
                      <a:avLst/>
                    </a:prstGeom>
                    <a:noFill/>
                    <a:ln>
                      <a:noFill/>
                    </a:ln>
                  </pic:spPr>
                </pic:pic>
              </a:graphicData>
            </a:graphic>
          </wp:inline>
        </w:drawing>
      </w:r>
    </w:p>
    <w:p w14:paraId="6BA9F81C" w14:textId="77777777" w:rsidR="00EC262D" w:rsidRPr="00EC262D" w:rsidRDefault="00EC262D" w:rsidP="00EC262D">
      <w:pPr>
        <w:jc w:val="both"/>
        <w:outlineLvl w:val="0"/>
      </w:pPr>
    </w:p>
    <w:p w14:paraId="72A034F1" w14:textId="77777777" w:rsidR="00EC262D" w:rsidRPr="00EC262D" w:rsidRDefault="00EC262D" w:rsidP="00EC262D">
      <w:pPr>
        <w:jc w:val="both"/>
        <w:outlineLvl w:val="0"/>
        <w:rPr>
          <w:noProof/>
          <w:lang w:eastAsia="es-MX"/>
        </w:rPr>
      </w:pPr>
    </w:p>
    <w:p w14:paraId="071BFB9D" w14:textId="77777777" w:rsidR="00EC262D" w:rsidRPr="00EC262D" w:rsidRDefault="00EC262D" w:rsidP="00EC262D">
      <w:pPr>
        <w:jc w:val="both"/>
        <w:outlineLvl w:val="0"/>
      </w:pPr>
      <w:r w:rsidRPr="00EC262D">
        <w:rPr>
          <w:rFonts w:asciiTheme="minorHAnsi" w:hAnsiTheme="minorHAnsi"/>
          <w:noProof/>
          <w:sz w:val="22"/>
          <w:lang w:eastAsia="es-MX"/>
        </w:rPr>
        <w:lastRenderedPageBreak/>
        <w:drawing>
          <wp:inline distT="0" distB="0" distL="0" distR="0" wp14:anchorId="06276843" wp14:editId="30D79687">
            <wp:extent cx="6331585" cy="603260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6032604"/>
                    </a:xfrm>
                    <a:prstGeom prst="rect">
                      <a:avLst/>
                    </a:prstGeom>
                    <a:noFill/>
                    <a:ln>
                      <a:noFill/>
                    </a:ln>
                  </pic:spPr>
                </pic:pic>
              </a:graphicData>
            </a:graphic>
          </wp:inline>
        </w:drawing>
      </w:r>
    </w:p>
    <w:p w14:paraId="57906577" w14:textId="77777777" w:rsidR="00EC262D" w:rsidRPr="00EC262D" w:rsidRDefault="00EC262D" w:rsidP="00EC262D">
      <w:pPr>
        <w:jc w:val="both"/>
        <w:outlineLvl w:val="0"/>
        <w:rPr>
          <w:bCs/>
        </w:rPr>
      </w:pPr>
    </w:p>
    <w:p w14:paraId="59915F3E" w14:textId="77777777" w:rsidR="00EC262D" w:rsidRPr="00EC262D" w:rsidRDefault="00EC262D" w:rsidP="00EC262D">
      <w:pPr>
        <w:jc w:val="both"/>
        <w:outlineLvl w:val="0"/>
        <w:rPr>
          <w:bCs/>
        </w:rPr>
      </w:pPr>
    </w:p>
    <w:p w14:paraId="38FFC5A2" w14:textId="77777777" w:rsidR="00EC262D" w:rsidRPr="00EC262D" w:rsidRDefault="00EC262D" w:rsidP="00EC262D">
      <w:pPr>
        <w:rPr>
          <w:rFonts w:eastAsia="Times New Roman" w:cs="Arial"/>
          <w:b/>
          <w:bCs/>
          <w:sz w:val="24"/>
          <w:szCs w:val="24"/>
          <w:lang w:val="es-ES" w:eastAsia="es-ES"/>
        </w:rPr>
      </w:pPr>
      <w:r w:rsidRPr="00EC262D">
        <w:rPr>
          <w:rFonts w:eastAsia="Times New Roman" w:cs="Arial"/>
          <w:b/>
          <w:bCs/>
          <w:sz w:val="24"/>
          <w:szCs w:val="24"/>
          <w:lang w:val="es-ES" w:eastAsia="es-ES"/>
        </w:rPr>
        <w:t>Notas de memoria (cuentas de orden)</w:t>
      </w:r>
    </w:p>
    <w:p w14:paraId="474DB836" w14:textId="77777777" w:rsidR="00EC262D" w:rsidRPr="00EC262D" w:rsidRDefault="00EC262D" w:rsidP="00EC262D">
      <w:pPr>
        <w:jc w:val="both"/>
        <w:outlineLvl w:val="0"/>
        <w:rPr>
          <w:rFonts w:eastAsia="Calibri" w:cs="Times New Roman"/>
          <w:b/>
          <w:bCs/>
        </w:rPr>
      </w:pPr>
    </w:p>
    <w:p w14:paraId="0BA0B9BA" w14:textId="77777777" w:rsidR="00EC262D" w:rsidRPr="00EC262D" w:rsidRDefault="00EC262D" w:rsidP="00EC262D">
      <w:pPr>
        <w:jc w:val="both"/>
        <w:outlineLvl w:val="0"/>
        <w:rPr>
          <w:bCs/>
        </w:rPr>
      </w:pPr>
      <w:r w:rsidRPr="00EC262D">
        <w:rPr>
          <w:bCs/>
        </w:rPr>
        <w:t>Atendiendo a lo establecido en la Ley General de Contabilidad Gubernamental, para efectos del registro y control, el Consejo Nacional de Armonización Contable ha determinado cuentas de orden contables, mismas que se presentan en el plan de cuentas.</w:t>
      </w:r>
    </w:p>
    <w:p w14:paraId="3001BA56" w14:textId="77777777" w:rsidR="00EC262D" w:rsidRPr="00EC262D" w:rsidRDefault="00EC262D" w:rsidP="00EC262D">
      <w:pPr>
        <w:jc w:val="both"/>
        <w:outlineLvl w:val="0"/>
        <w:rPr>
          <w:bCs/>
        </w:rPr>
      </w:pPr>
    </w:p>
    <w:p w14:paraId="4D563DB3" w14:textId="77777777" w:rsidR="00EC262D" w:rsidRPr="00EC262D" w:rsidRDefault="00EC262D" w:rsidP="00EC262D">
      <w:pPr>
        <w:jc w:val="both"/>
        <w:outlineLvl w:val="0"/>
        <w:rPr>
          <w:bCs/>
        </w:rPr>
      </w:pPr>
      <w:r w:rsidRPr="00EC262D">
        <w:rPr>
          <w:bC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0089C84F" w14:textId="77777777" w:rsidR="00EC262D" w:rsidRPr="00EC262D" w:rsidRDefault="00EC262D" w:rsidP="00EC262D">
      <w:pPr>
        <w:jc w:val="both"/>
        <w:outlineLvl w:val="0"/>
        <w:rPr>
          <w:bCs/>
        </w:rPr>
      </w:pPr>
    </w:p>
    <w:p w14:paraId="40D62EBB" w14:textId="77777777" w:rsidR="00EC262D" w:rsidRPr="00EC262D" w:rsidRDefault="00EC262D" w:rsidP="00EC262D">
      <w:pPr>
        <w:jc w:val="both"/>
        <w:outlineLvl w:val="0"/>
        <w:rPr>
          <w:bCs/>
        </w:rPr>
      </w:pPr>
    </w:p>
    <w:p w14:paraId="60F92FB3" w14:textId="77777777" w:rsidR="00EC262D" w:rsidRPr="00EC262D" w:rsidRDefault="00EC262D" w:rsidP="00EC262D">
      <w:pPr>
        <w:jc w:val="both"/>
        <w:rPr>
          <w:rFonts w:eastAsia="Calibri" w:cs="Arial"/>
          <w:b/>
          <w:bCs/>
          <w:szCs w:val="20"/>
          <w:lang w:val="es-ES" w:eastAsia="es-ES"/>
        </w:rPr>
      </w:pPr>
    </w:p>
    <w:p w14:paraId="52A7C15D" w14:textId="77777777" w:rsidR="00EC262D" w:rsidRPr="00EC262D" w:rsidRDefault="00EC262D" w:rsidP="00EC262D">
      <w:pPr>
        <w:jc w:val="both"/>
        <w:rPr>
          <w:rFonts w:eastAsia="Calibri" w:cs="Arial"/>
          <w:b/>
          <w:bCs/>
          <w:caps/>
          <w:szCs w:val="20"/>
          <w:lang w:val="es-ES" w:eastAsia="es-ES"/>
        </w:rPr>
      </w:pPr>
      <w:r w:rsidRPr="00EC262D">
        <w:rPr>
          <w:rFonts w:eastAsia="Calibri" w:cs="Arial"/>
          <w:b/>
          <w:bCs/>
          <w:szCs w:val="20"/>
          <w:lang w:val="es-ES" w:eastAsia="es-ES"/>
        </w:rPr>
        <w:lastRenderedPageBreak/>
        <w:t>Cuentas de orden contables</w:t>
      </w:r>
    </w:p>
    <w:p w14:paraId="08B1F6BD" w14:textId="77777777" w:rsidR="00EC262D" w:rsidRPr="00EC262D" w:rsidRDefault="00EC262D" w:rsidP="00EC262D">
      <w:pPr>
        <w:jc w:val="both"/>
        <w:outlineLvl w:val="0"/>
        <w:rPr>
          <w:rFonts w:eastAsia="Calibri" w:cs="Times New Roman"/>
          <w:b/>
          <w:bCs/>
          <w:i/>
          <w:iCs/>
        </w:rPr>
      </w:pPr>
    </w:p>
    <w:p w14:paraId="2E535DFE"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Valores</w:t>
      </w:r>
    </w:p>
    <w:p w14:paraId="4F49AEFE" w14:textId="77777777" w:rsidR="00EC262D" w:rsidRPr="00EC262D" w:rsidRDefault="00EC262D" w:rsidP="00EC262D">
      <w:pPr>
        <w:autoSpaceDE w:val="0"/>
        <w:autoSpaceDN w:val="0"/>
        <w:adjustRightInd w:val="0"/>
        <w:jc w:val="both"/>
        <w:rPr>
          <w:b/>
          <w:i/>
        </w:rPr>
      </w:pPr>
    </w:p>
    <w:p w14:paraId="58CB1852" w14:textId="77777777" w:rsidR="00EC262D" w:rsidRPr="00EC262D" w:rsidRDefault="00EC262D" w:rsidP="00EC262D">
      <w:pPr>
        <w:autoSpaceDE w:val="0"/>
        <w:autoSpaceDN w:val="0"/>
        <w:adjustRightInd w:val="0"/>
        <w:jc w:val="both"/>
      </w:pPr>
      <w:r w:rsidRPr="00EC262D">
        <w:t>Este rubro presenta la cifra de $ 2,847 pesos y corresponde a ejercicios anteriores, el cual se encuentra en proceso de depuración con fundamento en el artículo 15 frac. VI de la normatividad contable aplicable a las entidades paraestatales del estado de Chiapas.</w:t>
      </w:r>
    </w:p>
    <w:p w14:paraId="0270D7A9" w14:textId="77777777" w:rsidR="00EC262D" w:rsidRPr="00EC262D" w:rsidRDefault="00EC262D" w:rsidP="00EC262D">
      <w:pPr>
        <w:autoSpaceDE w:val="0"/>
        <w:autoSpaceDN w:val="0"/>
        <w:adjustRightInd w:val="0"/>
        <w:jc w:val="both"/>
      </w:pPr>
    </w:p>
    <w:p w14:paraId="3E0E2804" w14:textId="77777777" w:rsidR="00EC262D" w:rsidRPr="00EC262D" w:rsidRDefault="00EC262D" w:rsidP="00EC262D">
      <w:pPr>
        <w:autoSpaceDE w:val="0"/>
        <w:autoSpaceDN w:val="0"/>
        <w:adjustRightInd w:val="0"/>
        <w:jc w:val="center"/>
      </w:pPr>
      <w:r w:rsidRPr="00EC262D">
        <w:rPr>
          <w:rFonts w:asciiTheme="minorHAnsi" w:hAnsiTheme="minorHAnsi"/>
          <w:noProof/>
          <w:sz w:val="22"/>
          <w:lang w:eastAsia="es-MX"/>
        </w:rPr>
        <w:drawing>
          <wp:inline distT="0" distB="0" distL="0" distR="0" wp14:anchorId="59B677C2" wp14:editId="481D2897">
            <wp:extent cx="6331585" cy="198397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1983977"/>
                    </a:xfrm>
                    <a:prstGeom prst="rect">
                      <a:avLst/>
                    </a:prstGeom>
                    <a:noFill/>
                    <a:ln>
                      <a:noFill/>
                    </a:ln>
                  </pic:spPr>
                </pic:pic>
              </a:graphicData>
            </a:graphic>
          </wp:inline>
        </w:drawing>
      </w:r>
    </w:p>
    <w:p w14:paraId="4021EF15" w14:textId="77777777" w:rsidR="00EC262D" w:rsidRPr="00EC262D" w:rsidRDefault="00EC262D" w:rsidP="00EC262D">
      <w:pPr>
        <w:autoSpaceDE w:val="0"/>
        <w:autoSpaceDN w:val="0"/>
        <w:adjustRightInd w:val="0"/>
        <w:jc w:val="both"/>
      </w:pPr>
    </w:p>
    <w:p w14:paraId="70DDCA00" w14:textId="77777777" w:rsidR="00EC262D" w:rsidRPr="00EC262D" w:rsidRDefault="00EC262D" w:rsidP="00EC262D">
      <w:pPr>
        <w:autoSpaceDE w:val="0"/>
        <w:autoSpaceDN w:val="0"/>
        <w:adjustRightInd w:val="0"/>
        <w:jc w:val="both"/>
      </w:pPr>
    </w:p>
    <w:p w14:paraId="079B45E2"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Emisión de obligaciones</w:t>
      </w:r>
    </w:p>
    <w:p w14:paraId="6AD4A785" w14:textId="77777777" w:rsidR="00EC262D" w:rsidRPr="00EC262D" w:rsidRDefault="00EC262D" w:rsidP="00EC262D">
      <w:pPr>
        <w:autoSpaceDE w:val="0"/>
        <w:autoSpaceDN w:val="0"/>
        <w:adjustRightInd w:val="0"/>
        <w:jc w:val="both"/>
        <w:rPr>
          <w:b/>
          <w:i/>
        </w:rPr>
      </w:pPr>
    </w:p>
    <w:p w14:paraId="7B2B90E6" w14:textId="77777777" w:rsidR="00EC262D" w:rsidRPr="00EC262D" w:rsidRDefault="00EC262D" w:rsidP="00EC262D">
      <w:pPr>
        <w:autoSpaceDE w:val="0"/>
        <w:autoSpaceDN w:val="0"/>
        <w:adjustRightInd w:val="0"/>
        <w:jc w:val="both"/>
      </w:pPr>
      <w:r w:rsidRPr="00EC262D">
        <w:t>La cantidad de $ 49,359,608 pesos se integra por los intereses por cobrar, por concepto de: préstamos a corto plazo, fideicomiso, hipotecarios y damnificados Stan, que el Instituto otorga a sus derechohabientes; así como, la actualización de los intereses del deudor denominado: azul grupo constructor, S.A. de C.V, por el registro de la minusvalía de los recursos del fideicomiso invertidos en bolsa de valores.</w:t>
      </w:r>
    </w:p>
    <w:p w14:paraId="5162C3DC" w14:textId="77777777" w:rsidR="00EC262D" w:rsidRPr="00EC262D" w:rsidRDefault="00EC262D" w:rsidP="00EC262D">
      <w:pPr>
        <w:autoSpaceDE w:val="0"/>
        <w:autoSpaceDN w:val="0"/>
        <w:adjustRightInd w:val="0"/>
        <w:jc w:val="both"/>
      </w:pPr>
    </w:p>
    <w:p w14:paraId="5500B5F3" w14:textId="77777777" w:rsidR="00EC262D" w:rsidRPr="00EC262D" w:rsidRDefault="00EC262D" w:rsidP="00EC262D">
      <w:pPr>
        <w:autoSpaceDE w:val="0"/>
        <w:autoSpaceDN w:val="0"/>
        <w:adjustRightInd w:val="0"/>
        <w:jc w:val="center"/>
      </w:pPr>
      <w:r w:rsidRPr="00EC262D">
        <w:rPr>
          <w:rFonts w:asciiTheme="minorHAnsi" w:hAnsiTheme="minorHAnsi"/>
          <w:noProof/>
          <w:sz w:val="22"/>
          <w:lang w:eastAsia="es-MX"/>
        </w:rPr>
        <w:drawing>
          <wp:inline distT="0" distB="0" distL="0" distR="0" wp14:anchorId="21AAFDE7" wp14:editId="37DB409D">
            <wp:extent cx="6177280" cy="309308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77280" cy="3093085"/>
                    </a:xfrm>
                    <a:prstGeom prst="rect">
                      <a:avLst/>
                    </a:prstGeom>
                    <a:noFill/>
                    <a:ln>
                      <a:noFill/>
                    </a:ln>
                  </pic:spPr>
                </pic:pic>
              </a:graphicData>
            </a:graphic>
          </wp:inline>
        </w:drawing>
      </w:r>
    </w:p>
    <w:p w14:paraId="1750FBC1" w14:textId="77777777" w:rsidR="00EC262D" w:rsidRPr="00EC262D" w:rsidRDefault="00EC262D" w:rsidP="00EC262D">
      <w:pPr>
        <w:autoSpaceDE w:val="0"/>
        <w:autoSpaceDN w:val="0"/>
        <w:adjustRightInd w:val="0"/>
        <w:jc w:val="both"/>
      </w:pPr>
    </w:p>
    <w:p w14:paraId="18D6D1BD" w14:textId="77777777" w:rsidR="00EC262D" w:rsidRPr="00EC262D" w:rsidRDefault="00EC262D" w:rsidP="00EC262D">
      <w:pPr>
        <w:autoSpaceDE w:val="0"/>
        <w:autoSpaceDN w:val="0"/>
        <w:adjustRightInd w:val="0"/>
        <w:jc w:val="both"/>
      </w:pPr>
    </w:p>
    <w:p w14:paraId="04390319" w14:textId="77777777" w:rsidR="00EC262D" w:rsidRPr="00EC262D" w:rsidRDefault="00EC262D" w:rsidP="00EC262D">
      <w:pPr>
        <w:jc w:val="both"/>
        <w:rPr>
          <w:rFonts w:eastAsia="Calibri" w:cs="Arial"/>
          <w:b/>
          <w:bCs/>
          <w:szCs w:val="20"/>
          <w:lang w:val="es-ES" w:eastAsia="es-ES"/>
        </w:rPr>
      </w:pPr>
    </w:p>
    <w:p w14:paraId="08BF6512" w14:textId="77777777" w:rsidR="00EC262D" w:rsidRPr="00EC262D" w:rsidRDefault="00EC262D" w:rsidP="00EC262D">
      <w:pPr>
        <w:jc w:val="both"/>
        <w:rPr>
          <w:rFonts w:eastAsia="Calibri" w:cs="Arial"/>
          <w:b/>
          <w:bCs/>
          <w:szCs w:val="20"/>
          <w:lang w:val="es-ES" w:eastAsia="es-ES"/>
        </w:rPr>
      </w:pPr>
    </w:p>
    <w:p w14:paraId="31950E79" w14:textId="77777777" w:rsidR="00EC262D" w:rsidRPr="00EC262D" w:rsidRDefault="00EC262D" w:rsidP="00EC262D">
      <w:pPr>
        <w:jc w:val="both"/>
        <w:rPr>
          <w:rFonts w:eastAsia="Calibri" w:cs="Arial"/>
          <w:b/>
          <w:bCs/>
          <w:szCs w:val="20"/>
          <w:lang w:val="es-ES" w:eastAsia="es-ES"/>
        </w:rPr>
      </w:pPr>
    </w:p>
    <w:p w14:paraId="3E5914DE" w14:textId="77777777" w:rsidR="00EC262D" w:rsidRPr="00EC262D" w:rsidRDefault="00EC262D" w:rsidP="00EC262D">
      <w:pPr>
        <w:jc w:val="both"/>
        <w:rPr>
          <w:rFonts w:eastAsia="Calibri" w:cs="Arial"/>
          <w:b/>
          <w:bCs/>
          <w:i/>
          <w:szCs w:val="20"/>
          <w:lang w:val="es-ES" w:eastAsia="es-ES"/>
        </w:rPr>
      </w:pPr>
      <w:r w:rsidRPr="00EC262D">
        <w:rPr>
          <w:rFonts w:eastAsia="Calibri" w:cs="Arial"/>
          <w:b/>
          <w:bCs/>
          <w:szCs w:val="20"/>
          <w:lang w:val="es-ES" w:eastAsia="es-ES"/>
        </w:rPr>
        <w:lastRenderedPageBreak/>
        <w:t>Juicios</w:t>
      </w:r>
    </w:p>
    <w:p w14:paraId="7A826B7A" w14:textId="77777777" w:rsidR="00EC262D" w:rsidRPr="00EC262D" w:rsidRDefault="00EC262D" w:rsidP="00EC262D">
      <w:pPr>
        <w:autoSpaceDE w:val="0"/>
        <w:autoSpaceDN w:val="0"/>
        <w:adjustRightInd w:val="0"/>
        <w:jc w:val="both"/>
        <w:rPr>
          <w:b/>
          <w:i/>
        </w:rPr>
      </w:pPr>
    </w:p>
    <w:p w14:paraId="7862178F" w14:textId="77777777" w:rsidR="00EC262D" w:rsidRPr="00EC262D" w:rsidRDefault="00EC262D" w:rsidP="00EC262D">
      <w:pPr>
        <w:autoSpaceDE w:val="0"/>
        <w:autoSpaceDN w:val="0"/>
        <w:adjustRightInd w:val="0"/>
        <w:jc w:val="both"/>
      </w:pPr>
      <w:r w:rsidRPr="00EC262D">
        <w:t xml:space="preserve">Se integra por juicio civil en proceso de la empresa </w:t>
      </w:r>
      <w:proofErr w:type="spellStart"/>
      <w:r w:rsidRPr="00EC262D">
        <w:t>Healt</w:t>
      </w:r>
      <w:proofErr w:type="spellEnd"/>
      <w:r w:rsidRPr="00EC262D">
        <w:t xml:space="preserve"> Digital </w:t>
      </w:r>
      <w:proofErr w:type="spellStart"/>
      <w:r w:rsidRPr="00EC262D">
        <w:t>Systems</w:t>
      </w:r>
      <w:proofErr w:type="spellEnd"/>
      <w:r w:rsidRPr="00EC262D">
        <w:t xml:space="preserve"> S.A.P.I. de C.V. sustentado por la revocación de la sentencia de fecha 31 de agosto del 2017 pronunciada en el expediente jurídico 1077/2013 al 31 de marzo del presente ejercicio refleja un saldo de $ 61,991,015 pesos.</w:t>
      </w:r>
    </w:p>
    <w:p w14:paraId="662ECD0C" w14:textId="77777777" w:rsidR="00EC262D" w:rsidRPr="00EC262D" w:rsidRDefault="00EC262D" w:rsidP="00EC262D">
      <w:pPr>
        <w:autoSpaceDE w:val="0"/>
        <w:autoSpaceDN w:val="0"/>
        <w:adjustRightInd w:val="0"/>
        <w:jc w:val="both"/>
      </w:pPr>
    </w:p>
    <w:p w14:paraId="2C7D2831" w14:textId="77777777" w:rsidR="00EC262D" w:rsidRPr="00EC262D" w:rsidRDefault="00EC262D" w:rsidP="00EC262D">
      <w:pPr>
        <w:autoSpaceDE w:val="0"/>
        <w:autoSpaceDN w:val="0"/>
        <w:adjustRightInd w:val="0"/>
        <w:jc w:val="center"/>
      </w:pPr>
      <w:r w:rsidRPr="00EC262D">
        <w:rPr>
          <w:rFonts w:asciiTheme="minorHAnsi" w:hAnsiTheme="minorHAnsi"/>
          <w:noProof/>
          <w:sz w:val="22"/>
          <w:lang w:eastAsia="es-MX"/>
        </w:rPr>
        <w:drawing>
          <wp:inline distT="0" distB="0" distL="0" distR="0" wp14:anchorId="714A9BA0" wp14:editId="56414C19">
            <wp:extent cx="6331585" cy="1825301"/>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1825301"/>
                    </a:xfrm>
                    <a:prstGeom prst="rect">
                      <a:avLst/>
                    </a:prstGeom>
                    <a:noFill/>
                    <a:ln>
                      <a:noFill/>
                    </a:ln>
                  </pic:spPr>
                </pic:pic>
              </a:graphicData>
            </a:graphic>
          </wp:inline>
        </w:drawing>
      </w:r>
    </w:p>
    <w:p w14:paraId="587BA9AE" w14:textId="77777777" w:rsidR="00EC262D" w:rsidRPr="00EC262D" w:rsidRDefault="00EC262D" w:rsidP="00EC262D">
      <w:pPr>
        <w:autoSpaceDE w:val="0"/>
        <w:autoSpaceDN w:val="0"/>
        <w:adjustRightInd w:val="0"/>
        <w:jc w:val="both"/>
      </w:pPr>
    </w:p>
    <w:p w14:paraId="1B2955CD" w14:textId="77777777" w:rsidR="00EC262D" w:rsidRPr="00EC262D" w:rsidRDefault="00EC262D" w:rsidP="00EC262D">
      <w:pPr>
        <w:autoSpaceDE w:val="0"/>
        <w:autoSpaceDN w:val="0"/>
        <w:adjustRightInd w:val="0"/>
        <w:jc w:val="both"/>
      </w:pPr>
    </w:p>
    <w:p w14:paraId="1BCD47EE"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Bienes en concesionados o en comodato</w:t>
      </w:r>
    </w:p>
    <w:p w14:paraId="2D4D409E" w14:textId="77777777" w:rsidR="00EC262D" w:rsidRPr="00EC262D" w:rsidRDefault="00EC262D" w:rsidP="00EC262D">
      <w:pPr>
        <w:autoSpaceDE w:val="0"/>
        <w:autoSpaceDN w:val="0"/>
        <w:adjustRightInd w:val="0"/>
        <w:jc w:val="both"/>
        <w:rPr>
          <w:b/>
          <w:i/>
        </w:rPr>
      </w:pPr>
    </w:p>
    <w:p w14:paraId="07B4A7FF" w14:textId="77777777" w:rsidR="00EC262D" w:rsidRPr="00EC262D" w:rsidRDefault="00EC262D" w:rsidP="00EC262D">
      <w:pPr>
        <w:autoSpaceDE w:val="0"/>
        <w:autoSpaceDN w:val="0"/>
        <w:adjustRightInd w:val="0"/>
        <w:jc w:val="both"/>
      </w:pPr>
      <w:r w:rsidRPr="00EC262D">
        <w:t xml:space="preserve">Los bienes en concesionados o en comodato al 31 de marzo de 2024, ascienden a $ 3,125,746 pesos correspondiente a bienes en concesión o en comodato del 2011, integrado por vehículos y equipos de transporte. </w:t>
      </w:r>
    </w:p>
    <w:p w14:paraId="389D96C3" w14:textId="77777777" w:rsidR="00EC262D" w:rsidRPr="00EC262D" w:rsidRDefault="00EC262D" w:rsidP="00EC262D">
      <w:pPr>
        <w:autoSpaceDE w:val="0"/>
        <w:autoSpaceDN w:val="0"/>
        <w:adjustRightInd w:val="0"/>
        <w:jc w:val="both"/>
      </w:pPr>
    </w:p>
    <w:p w14:paraId="10AD885D" w14:textId="77777777" w:rsidR="00EC262D" w:rsidRPr="00EC262D" w:rsidRDefault="00EC262D" w:rsidP="00EC262D">
      <w:pPr>
        <w:autoSpaceDE w:val="0"/>
        <w:autoSpaceDN w:val="0"/>
        <w:adjustRightInd w:val="0"/>
        <w:jc w:val="center"/>
      </w:pPr>
      <w:r w:rsidRPr="00EC262D">
        <w:rPr>
          <w:rFonts w:asciiTheme="minorHAnsi" w:hAnsiTheme="minorHAnsi"/>
          <w:noProof/>
          <w:sz w:val="22"/>
          <w:lang w:eastAsia="es-MX"/>
        </w:rPr>
        <w:drawing>
          <wp:inline distT="0" distB="0" distL="0" distR="0" wp14:anchorId="22114868" wp14:editId="0C1371C9">
            <wp:extent cx="6331585" cy="1862056"/>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862056"/>
                    </a:xfrm>
                    <a:prstGeom prst="rect">
                      <a:avLst/>
                    </a:prstGeom>
                    <a:noFill/>
                    <a:ln>
                      <a:noFill/>
                    </a:ln>
                  </pic:spPr>
                </pic:pic>
              </a:graphicData>
            </a:graphic>
          </wp:inline>
        </w:drawing>
      </w:r>
    </w:p>
    <w:p w14:paraId="6C55233C" w14:textId="77777777" w:rsidR="00EC262D" w:rsidRPr="00EC262D" w:rsidRDefault="00EC262D" w:rsidP="00EC262D">
      <w:pPr>
        <w:jc w:val="both"/>
        <w:outlineLvl w:val="0"/>
        <w:rPr>
          <w:b/>
          <w:bCs/>
        </w:rPr>
      </w:pPr>
    </w:p>
    <w:p w14:paraId="1935B1A1" w14:textId="77777777" w:rsidR="00EC262D" w:rsidRPr="00EC262D" w:rsidRDefault="00EC262D" w:rsidP="00EC262D">
      <w:pPr>
        <w:jc w:val="both"/>
        <w:outlineLvl w:val="0"/>
        <w:rPr>
          <w:b/>
          <w:bCs/>
        </w:rPr>
      </w:pPr>
    </w:p>
    <w:p w14:paraId="3BEC38A4"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Cuentas de orden presupuestario</w:t>
      </w:r>
    </w:p>
    <w:p w14:paraId="7045CC88" w14:textId="77777777" w:rsidR="00EC262D" w:rsidRPr="00EC262D" w:rsidRDefault="00EC262D" w:rsidP="00EC262D">
      <w:pPr>
        <w:jc w:val="both"/>
        <w:rPr>
          <w:rFonts w:eastAsia="Calibri" w:cs="Times New Roman"/>
          <w:b/>
          <w:bCs/>
          <w:caps/>
          <w:color w:val="B09A5B"/>
        </w:rPr>
      </w:pPr>
    </w:p>
    <w:p w14:paraId="40C47F42"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Cuentas de ingresos</w:t>
      </w:r>
    </w:p>
    <w:p w14:paraId="4D52D893" w14:textId="77777777" w:rsidR="00EC262D" w:rsidRPr="00EC262D" w:rsidRDefault="00EC262D" w:rsidP="00EC262D">
      <w:pPr>
        <w:jc w:val="both"/>
        <w:rPr>
          <w:bCs/>
          <w:highlight w:val="yellow"/>
        </w:rPr>
      </w:pPr>
    </w:p>
    <w:p w14:paraId="7E4B51D2" w14:textId="77777777" w:rsidR="00EC262D" w:rsidRPr="00EC262D" w:rsidRDefault="00EC262D" w:rsidP="00EC262D">
      <w:pPr>
        <w:jc w:val="both"/>
        <w:outlineLvl w:val="0"/>
      </w:pPr>
      <w:r w:rsidRPr="00EC262D">
        <w:t>Al inicio del ejercicio 2024, se aprobó un presupuesto de ingresos de $ 7,489,663,478 pesos, para las Instituciones Públicas de Seguridad Social, de los cuales, se presenta un decremento por $ 1,061,812,748 pesos al presupuesto estimado para el periodo que se informa.</w:t>
      </w:r>
    </w:p>
    <w:p w14:paraId="2A8EDE00" w14:textId="77777777" w:rsidR="00EC262D" w:rsidRPr="00EC262D" w:rsidRDefault="00EC262D" w:rsidP="00EC262D">
      <w:pPr>
        <w:jc w:val="both"/>
        <w:outlineLvl w:val="0"/>
        <w:rPr>
          <w:highlight w:val="yellow"/>
        </w:rPr>
      </w:pPr>
    </w:p>
    <w:p w14:paraId="45E77174" w14:textId="77777777" w:rsidR="00EC262D" w:rsidRPr="00EC262D" w:rsidRDefault="00EC262D" w:rsidP="00EC262D">
      <w:pPr>
        <w:jc w:val="both"/>
        <w:outlineLvl w:val="0"/>
        <w:rPr>
          <w:highlight w:val="yellow"/>
        </w:rPr>
      </w:pPr>
      <w:r w:rsidRPr="00EC262D">
        <w:t>Los ingresos recaudados durante el periodo del 1 de enero al 31 de marzo de 2024, ascendieron a cantidad de $ 960,374,246 pesos.</w:t>
      </w:r>
    </w:p>
    <w:p w14:paraId="5AF8459B" w14:textId="77777777" w:rsidR="00EC262D" w:rsidRPr="00EC262D" w:rsidRDefault="00EC262D" w:rsidP="00EC262D">
      <w:pPr>
        <w:jc w:val="both"/>
        <w:outlineLvl w:val="0"/>
        <w:rPr>
          <w:b/>
          <w:bCs/>
          <w:highlight w:val="yellow"/>
        </w:rPr>
      </w:pPr>
    </w:p>
    <w:p w14:paraId="01933CAE" w14:textId="77777777" w:rsidR="00EC262D" w:rsidRPr="00EC262D" w:rsidRDefault="00EC262D" w:rsidP="00EC262D">
      <w:pPr>
        <w:jc w:val="both"/>
        <w:outlineLvl w:val="0"/>
      </w:pPr>
      <w:r w:rsidRPr="00EC262D">
        <w:t xml:space="preserve">Los ingresos derivados de recursos provenientes de las ministraciones radicadas del Gobierno Estatal, representó el 28.4 % del total de los ingresos recaudados con un importe de $ 273,155,784 pesos, integrándose de $ 57,470,151 pesos por  participaciones, aportaciones, convenios, incentivos derivados de la colaboración fiscal y fondos distintos de aportaciones y de $ 215,685,633 pesos por concepto de transferencias, asignaciones, subsidios y subvenciones y pensiones y jubilaciones en diferentes fuentes de financiamiento con recursos del ejercicio, así como, el 58.9 % de </w:t>
      </w:r>
      <w:r w:rsidRPr="00EC262D">
        <w:lastRenderedPageBreak/>
        <w:t>cuotas y aportaciones de seguridad social registradas por el ISSTECH con un importe de $ 565,885,027 pesos, entre los rubros más relevantes.</w:t>
      </w:r>
    </w:p>
    <w:p w14:paraId="088B8BDF" w14:textId="77777777" w:rsidR="00EC262D" w:rsidRPr="00EC262D" w:rsidRDefault="00EC262D" w:rsidP="00EC262D">
      <w:pPr>
        <w:jc w:val="both"/>
        <w:outlineLvl w:val="0"/>
      </w:pPr>
    </w:p>
    <w:p w14:paraId="6C81A760" w14:textId="77777777" w:rsidR="00EC262D" w:rsidRPr="00EC262D" w:rsidRDefault="00EC262D" w:rsidP="00EC262D">
      <w:pPr>
        <w:jc w:val="both"/>
        <w:outlineLvl w:val="0"/>
      </w:pPr>
      <w:r w:rsidRPr="00EC262D">
        <w:t xml:space="preserve">A continuación, se presenta el estado analítico de ingresos presupuestarios de acuerdo de la clasificación indicada en las notas de memoria de los estados financieros emitidos por el CONAC.       </w:t>
      </w:r>
    </w:p>
    <w:p w14:paraId="44FF1083" w14:textId="77777777" w:rsidR="00EC262D" w:rsidRPr="00EC262D" w:rsidRDefault="00EC262D" w:rsidP="00EC262D">
      <w:pPr>
        <w:jc w:val="both"/>
      </w:pPr>
    </w:p>
    <w:p w14:paraId="082952C7" w14:textId="77777777" w:rsidR="00EC262D" w:rsidRPr="00EC262D" w:rsidRDefault="00EC262D" w:rsidP="00EC262D">
      <w:pPr>
        <w:jc w:val="both"/>
      </w:pPr>
      <w:r w:rsidRPr="00EC262D">
        <w:rPr>
          <w:rFonts w:asciiTheme="minorHAnsi" w:hAnsiTheme="minorHAnsi"/>
          <w:noProof/>
          <w:sz w:val="22"/>
          <w:lang w:eastAsia="es-MX"/>
        </w:rPr>
        <w:drawing>
          <wp:inline distT="0" distB="0" distL="0" distR="0" wp14:anchorId="6100E1BE" wp14:editId="79E118ED">
            <wp:extent cx="6331585" cy="29881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2988100"/>
                    </a:xfrm>
                    <a:prstGeom prst="rect">
                      <a:avLst/>
                    </a:prstGeom>
                    <a:noFill/>
                    <a:ln>
                      <a:noFill/>
                    </a:ln>
                  </pic:spPr>
                </pic:pic>
              </a:graphicData>
            </a:graphic>
          </wp:inline>
        </w:drawing>
      </w:r>
    </w:p>
    <w:p w14:paraId="34593FF6" w14:textId="77777777" w:rsidR="00EC262D" w:rsidRPr="00EC262D" w:rsidRDefault="00EC262D" w:rsidP="00EC262D">
      <w:pPr>
        <w:jc w:val="both"/>
        <w:rPr>
          <w:rFonts w:eastAsia="Calibri" w:cs="Arial"/>
          <w:b/>
          <w:bCs/>
          <w:szCs w:val="20"/>
          <w:lang w:val="es-ES" w:eastAsia="es-ES"/>
        </w:rPr>
      </w:pPr>
    </w:p>
    <w:p w14:paraId="5EF78586" w14:textId="77777777" w:rsidR="00EC262D" w:rsidRPr="00EC262D" w:rsidRDefault="00EC262D" w:rsidP="00EC262D">
      <w:pPr>
        <w:jc w:val="both"/>
        <w:rPr>
          <w:rFonts w:eastAsia="Calibri" w:cs="Arial"/>
          <w:b/>
          <w:bCs/>
          <w:szCs w:val="20"/>
          <w:lang w:val="es-ES" w:eastAsia="es-ES"/>
        </w:rPr>
      </w:pPr>
    </w:p>
    <w:p w14:paraId="58CA589E" w14:textId="77777777"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t>Cuentas de egresos</w:t>
      </w:r>
    </w:p>
    <w:p w14:paraId="65B697A9" w14:textId="77777777" w:rsidR="00EC262D" w:rsidRPr="00EC262D" w:rsidRDefault="00EC262D" w:rsidP="00EC262D">
      <w:pPr>
        <w:jc w:val="both"/>
        <w:outlineLvl w:val="0"/>
      </w:pPr>
    </w:p>
    <w:p w14:paraId="28E52EAC" w14:textId="77777777" w:rsidR="00EC262D" w:rsidRPr="00EC262D" w:rsidRDefault="00EC262D" w:rsidP="00EC262D">
      <w:pPr>
        <w:jc w:val="both"/>
        <w:outlineLvl w:val="0"/>
      </w:pPr>
      <w:r w:rsidRPr="00EC262D">
        <w:t>El estado del ejercicio del presupuesto de egresos, refleja al 31 de marzo del ejercicio 2024, el presupuesto aprobado anual por un monto de $ 7,489,663,478 pesos.</w:t>
      </w:r>
    </w:p>
    <w:p w14:paraId="7B3C551F" w14:textId="77777777" w:rsidR="00EC262D" w:rsidRPr="00EC262D" w:rsidRDefault="00EC262D" w:rsidP="00EC262D">
      <w:pPr>
        <w:jc w:val="both"/>
        <w:outlineLvl w:val="0"/>
        <w:rPr>
          <w:b/>
          <w:bCs/>
        </w:rPr>
      </w:pPr>
    </w:p>
    <w:p w14:paraId="549A81E4" w14:textId="77777777" w:rsidR="00EC262D" w:rsidRPr="00EC262D" w:rsidRDefault="00EC262D" w:rsidP="00EC262D">
      <w:pPr>
        <w:jc w:val="both"/>
        <w:outlineLvl w:val="0"/>
        <w:rPr>
          <w:color w:val="FF0000"/>
        </w:rPr>
      </w:pPr>
      <w:r w:rsidRPr="00EC262D">
        <w:t>El presupuesto devengado a la fecha que se informa fue de $ 1,423,146,152 pesos, se compone con recursos del ejercicio; de los cuales se aplicaron $ 964,685,765 pesos en transferencias, asignaciones, subsidios y otras ayudas, equivalente al 67.8 % del devengo total; así como $ 148,157,783 pesos de materiales y suministros, representando el 10.4 % del devengado total; la cifra de $ 142,140,907 pesos a servicios personales, equivalente al 10 % del devengo total; de igual manera el monto de $ 96,635,000 pesos por concepto de inversiones financieras y otras provisiones, representando el 6.8 % del devengado total, entre los rubros más sobresalientes.</w:t>
      </w:r>
    </w:p>
    <w:p w14:paraId="4675FCF1" w14:textId="77777777" w:rsidR="00EC262D" w:rsidRPr="00EC262D" w:rsidRDefault="00EC262D" w:rsidP="00EC262D">
      <w:pPr>
        <w:jc w:val="both"/>
        <w:outlineLvl w:val="0"/>
        <w:rPr>
          <w:b/>
          <w:bCs/>
        </w:rPr>
      </w:pPr>
    </w:p>
    <w:p w14:paraId="37757FB8" w14:textId="77777777" w:rsidR="00EC262D" w:rsidRPr="00EC262D" w:rsidRDefault="00EC262D" w:rsidP="00EC262D">
      <w:pPr>
        <w:jc w:val="both"/>
        <w:outlineLvl w:val="0"/>
        <w:rPr>
          <w:b/>
          <w:bCs/>
        </w:rPr>
      </w:pPr>
      <w:r w:rsidRPr="00EC262D">
        <w:rPr>
          <w:rFonts w:asciiTheme="minorHAnsi" w:hAnsiTheme="minorHAnsi"/>
          <w:noProof/>
          <w:sz w:val="22"/>
          <w:lang w:eastAsia="es-MX"/>
        </w:rPr>
        <w:lastRenderedPageBreak/>
        <w:drawing>
          <wp:inline distT="0" distB="0" distL="0" distR="0" wp14:anchorId="4B86334F" wp14:editId="766B373C">
            <wp:extent cx="6331585" cy="2830609"/>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830609"/>
                    </a:xfrm>
                    <a:prstGeom prst="rect">
                      <a:avLst/>
                    </a:prstGeom>
                    <a:noFill/>
                    <a:ln>
                      <a:noFill/>
                    </a:ln>
                  </pic:spPr>
                </pic:pic>
              </a:graphicData>
            </a:graphic>
          </wp:inline>
        </w:drawing>
      </w:r>
    </w:p>
    <w:p w14:paraId="31B18B57" w14:textId="77777777" w:rsidR="00EC262D" w:rsidRPr="00EC262D" w:rsidRDefault="00EC262D" w:rsidP="00EC262D">
      <w:pPr>
        <w:jc w:val="both"/>
        <w:rPr>
          <w:b/>
          <w:bCs/>
          <w:caps/>
          <w:color w:val="B09A5B"/>
          <w:u w:val="single"/>
        </w:rPr>
      </w:pPr>
    </w:p>
    <w:p w14:paraId="68D89642" w14:textId="77777777" w:rsidR="00EC262D" w:rsidRPr="00EC262D" w:rsidRDefault="00EC262D" w:rsidP="00EC262D">
      <w:pPr>
        <w:jc w:val="both"/>
        <w:rPr>
          <w:rFonts w:eastAsia="Calibri" w:cs="Arial"/>
          <w:b/>
          <w:bCs/>
          <w:szCs w:val="20"/>
          <w:lang w:val="es-ES" w:eastAsia="es-ES"/>
        </w:rPr>
      </w:pPr>
      <w:bookmarkStart w:id="4" w:name="_Hlk125467774"/>
    </w:p>
    <w:p w14:paraId="2CB04D2C" w14:textId="77777777" w:rsidR="00EC262D" w:rsidRDefault="00EC262D">
      <w:pPr>
        <w:spacing w:after="160" w:line="259" w:lineRule="auto"/>
        <w:rPr>
          <w:rFonts w:eastAsia="Calibri" w:cs="Arial"/>
          <w:b/>
          <w:bCs/>
          <w:szCs w:val="20"/>
          <w:lang w:val="es-ES" w:eastAsia="es-ES"/>
        </w:rPr>
      </w:pPr>
      <w:r>
        <w:rPr>
          <w:rFonts w:eastAsia="Calibri" w:cs="Arial"/>
          <w:b/>
          <w:bCs/>
          <w:szCs w:val="20"/>
          <w:lang w:val="es-ES" w:eastAsia="es-ES"/>
        </w:rPr>
        <w:br w:type="page"/>
      </w:r>
    </w:p>
    <w:p w14:paraId="5809512B" w14:textId="486D85BC" w:rsidR="00EC262D" w:rsidRPr="00EC262D" w:rsidRDefault="00EC262D" w:rsidP="00EC262D">
      <w:pPr>
        <w:jc w:val="both"/>
        <w:rPr>
          <w:rFonts w:eastAsia="Calibri" w:cs="Arial"/>
          <w:b/>
          <w:bCs/>
          <w:szCs w:val="20"/>
          <w:lang w:val="es-ES" w:eastAsia="es-ES"/>
        </w:rPr>
      </w:pPr>
      <w:r w:rsidRPr="00EC262D">
        <w:rPr>
          <w:rFonts w:eastAsia="Calibri" w:cs="Arial"/>
          <w:b/>
          <w:bCs/>
          <w:szCs w:val="20"/>
          <w:lang w:val="es-ES" w:eastAsia="es-ES"/>
        </w:rPr>
        <w:lastRenderedPageBreak/>
        <w:t>Razones financieras</w:t>
      </w:r>
    </w:p>
    <w:p w14:paraId="787BCDBD" w14:textId="77777777" w:rsidR="00EC262D" w:rsidRPr="00EC262D" w:rsidRDefault="00EC262D" w:rsidP="00EC262D">
      <w:pPr>
        <w:tabs>
          <w:tab w:val="left" w:pos="5280"/>
        </w:tabs>
        <w:jc w:val="both"/>
        <w:rPr>
          <w:rFonts w:cs="Arial"/>
          <w:szCs w:val="20"/>
        </w:rPr>
      </w:pPr>
    </w:p>
    <w:bookmarkEnd w:id="4"/>
    <w:p w14:paraId="4090B3D0" w14:textId="77777777" w:rsidR="00EC262D" w:rsidRPr="00EC262D" w:rsidRDefault="00EC262D" w:rsidP="00EC262D">
      <w:pPr>
        <w:autoSpaceDE w:val="0"/>
        <w:autoSpaceDN w:val="0"/>
        <w:adjustRightInd w:val="0"/>
        <w:jc w:val="both"/>
        <w:outlineLvl w:val="0"/>
      </w:pPr>
      <w:r w:rsidRPr="00EC262D">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marzo del ejercicio 2024, se aplicaron las siguientes razones financieras:</w:t>
      </w:r>
    </w:p>
    <w:p w14:paraId="0A4EF8A0" w14:textId="77777777" w:rsidR="00EC262D" w:rsidRPr="00EC262D" w:rsidRDefault="00EC262D" w:rsidP="00EC262D">
      <w:pPr>
        <w:autoSpaceDE w:val="0"/>
        <w:autoSpaceDN w:val="0"/>
        <w:adjustRightInd w:val="0"/>
        <w:jc w:val="both"/>
        <w:outlineLvl w:val="0"/>
        <w:rPr>
          <w:bCs/>
        </w:rPr>
      </w:pPr>
    </w:p>
    <w:p w14:paraId="12A4BF3C" w14:textId="0A3C9327" w:rsidR="00EC262D" w:rsidRPr="00EC262D" w:rsidRDefault="00EC262D" w:rsidP="00EC262D">
      <w:pPr>
        <w:autoSpaceDE w:val="0"/>
        <w:autoSpaceDN w:val="0"/>
        <w:adjustRightInd w:val="0"/>
        <w:jc w:val="center"/>
        <w:outlineLvl w:val="0"/>
        <w:rPr>
          <w:b/>
          <w:bCs/>
        </w:rPr>
      </w:pPr>
      <w:r w:rsidRPr="00EC262D">
        <w:drawing>
          <wp:inline distT="0" distB="0" distL="0" distR="0" wp14:anchorId="1AA8D8CD" wp14:editId="6CC2E872">
            <wp:extent cx="6691630" cy="25171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2517140"/>
                    </a:xfrm>
                    <a:prstGeom prst="rect">
                      <a:avLst/>
                    </a:prstGeom>
                    <a:noFill/>
                    <a:ln>
                      <a:noFill/>
                    </a:ln>
                  </pic:spPr>
                </pic:pic>
              </a:graphicData>
            </a:graphic>
          </wp:inline>
        </w:drawing>
      </w:r>
      <w:bookmarkStart w:id="5" w:name="_GoBack"/>
      <w:bookmarkEnd w:id="5"/>
    </w:p>
    <w:p w14:paraId="5549219C" w14:textId="77777777" w:rsidR="00EC262D" w:rsidRPr="00EC262D" w:rsidRDefault="00EC262D" w:rsidP="00EC262D">
      <w:pPr>
        <w:autoSpaceDE w:val="0"/>
        <w:autoSpaceDN w:val="0"/>
        <w:adjustRightInd w:val="0"/>
        <w:jc w:val="both"/>
        <w:outlineLvl w:val="0"/>
        <w:rPr>
          <w:bCs/>
        </w:rPr>
      </w:pPr>
    </w:p>
    <w:p w14:paraId="719B3C14" w14:textId="77777777" w:rsidR="00EC262D" w:rsidRPr="00EC262D" w:rsidRDefault="00EC262D" w:rsidP="00EC262D">
      <w:pPr>
        <w:autoSpaceDE w:val="0"/>
        <w:autoSpaceDN w:val="0"/>
        <w:adjustRightInd w:val="0"/>
        <w:jc w:val="both"/>
        <w:outlineLvl w:val="0"/>
        <w:rPr>
          <w:bCs/>
        </w:rPr>
      </w:pPr>
    </w:p>
    <w:p w14:paraId="6B5CC65F" w14:textId="77777777" w:rsidR="00EC262D" w:rsidRPr="00EC262D" w:rsidRDefault="00EC262D" w:rsidP="00EC262D">
      <w:pPr>
        <w:autoSpaceDE w:val="0"/>
        <w:autoSpaceDN w:val="0"/>
        <w:adjustRightInd w:val="0"/>
        <w:jc w:val="both"/>
        <w:outlineLvl w:val="0"/>
      </w:pPr>
      <w:r w:rsidRPr="00EC262D">
        <w:t xml:space="preserve">Los estados financieros muestran un resultado de $ 1.9 pesos de </w:t>
      </w:r>
      <w:r w:rsidRPr="00EC262D">
        <w:rPr>
          <w:b/>
        </w:rPr>
        <w:t>liquidez y disponibilidad inmediata</w:t>
      </w:r>
      <w:r w:rsidRPr="00EC262D">
        <w:t xml:space="preserve"> para hacer frente a cada peso de los compromisos a corto plazo. </w:t>
      </w:r>
    </w:p>
    <w:p w14:paraId="61331522" w14:textId="77777777" w:rsidR="00EC262D" w:rsidRPr="00EC262D" w:rsidRDefault="00EC262D" w:rsidP="00EC262D">
      <w:pPr>
        <w:autoSpaceDE w:val="0"/>
        <w:autoSpaceDN w:val="0"/>
        <w:adjustRightInd w:val="0"/>
        <w:jc w:val="both"/>
        <w:outlineLvl w:val="0"/>
      </w:pPr>
    </w:p>
    <w:p w14:paraId="7FBEA578" w14:textId="77777777" w:rsidR="00EC262D" w:rsidRPr="00EC262D" w:rsidRDefault="00EC262D" w:rsidP="00EC262D">
      <w:pPr>
        <w:autoSpaceDE w:val="0"/>
        <w:autoSpaceDN w:val="0"/>
        <w:adjustRightInd w:val="0"/>
        <w:jc w:val="both"/>
        <w:outlineLvl w:val="0"/>
      </w:pPr>
      <w:r w:rsidRPr="00EC262D">
        <w:t xml:space="preserve">La razón de </w:t>
      </w:r>
      <w:r w:rsidRPr="00EC262D">
        <w:rPr>
          <w:b/>
        </w:rPr>
        <w:t>solvencia</w:t>
      </w:r>
      <w:r w:rsidRPr="00EC262D">
        <w:t xml:space="preserve"> muestra que las entidades cuentan con $ 1.9 pesos para cubrir cada peso que debe por sus compromisos a corto plazo. </w:t>
      </w:r>
    </w:p>
    <w:p w14:paraId="4FDEF0EB" w14:textId="77777777" w:rsidR="00EC262D" w:rsidRPr="00EC262D" w:rsidRDefault="00EC262D" w:rsidP="00EC262D">
      <w:pPr>
        <w:autoSpaceDE w:val="0"/>
        <w:autoSpaceDN w:val="0"/>
        <w:adjustRightInd w:val="0"/>
        <w:jc w:val="both"/>
        <w:outlineLvl w:val="0"/>
      </w:pPr>
    </w:p>
    <w:p w14:paraId="36CD38D2" w14:textId="77777777" w:rsidR="00EC262D" w:rsidRPr="00EC262D" w:rsidRDefault="00EC262D" w:rsidP="00EC262D">
      <w:pPr>
        <w:autoSpaceDE w:val="0"/>
        <w:autoSpaceDN w:val="0"/>
        <w:adjustRightInd w:val="0"/>
        <w:jc w:val="both"/>
        <w:outlineLvl w:val="0"/>
      </w:pPr>
      <w:r w:rsidRPr="00EC262D">
        <w:t>La</w:t>
      </w:r>
      <w:r w:rsidRPr="00EC262D">
        <w:rPr>
          <w:b/>
        </w:rPr>
        <w:t xml:space="preserve"> prueba del ácido</w:t>
      </w:r>
      <w:r w:rsidRPr="00EC262D">
        <w:t xml:space="preserve"> indica que las entidades cuentan con $ 1.9 pesos de activos de conversión inmediata en efectivo por cada peso de pasivos a corto plazo. </w:t>
      </w:r>
    </w:p>
    <w:p w14:paraId="7A0994C5" w14:textId="77777777" w:rsidR="00EC262D" w:rsidRPr="00EC262D" w:rsidRDefault="00EC262D" w:rsidP="00EC262D">
      <w:pPr>
        <w:autoSpaceDE w:val="0"/>
        <w:autoSpaceDN w:val="0"/>
        <w:adjustRightInd w:val="0"/>
        <w:jc w:val="both"/>
        <w:outlineLvl w:val="0"/>
      </w:pPr>
    </w:p>
    <w:p w14:paraId="5C9D4A84" w14:textId="77777777" w:rsidR="00EC262D" w:rsidRPr="00EC262D" w:rsidRDefault="00EC262D" w:rsidP="00EC262D">
      <w:pPr>
        <w:autoSpaceDE w:val="0"/>
        <w:autoSpaceDN w:val="0"/>
        <w:adjustRightInd w:val="0"/>
        <w:jc w:val="both"/>
        <w:outlineLvl w:val="0"/>
      </w:pPr>
      <w:r w:rsidRPr="00EC262D">
        <w:t>La posición financiera que guardan las Instituciones Públicas de Seguridad Social muestra los ingresos y egresos al 31 de marzo del ejercicio 2024, toda vez que los saldos de los pasivos se han mantenido en niveles saludables y en equilibrio de los ingresos.</w:t>
      </w:r>
    </w:p>
    <w:p w14:paraId="19409B06" w14:textId="77777777" w:rsidR="00EC262D" w:rsidRPr="00EC262D" w:rsidRDefault="00EC262D" w:rsidP="00EC262D">
      <w:pPr>
        <w:jc w:val="both"/>
      </w:pPr>
      <w:r w:rsidRPr="00EC262D">
        <w:br w:type="page"/>
      </w:r>
    </w:p>
    <w:p w14:paraId="5E87EC53" w14:textId="77777777" w:rsidR="00EC262D" w:rsidRPr="00EC262D" w:rsidRDefault="00EC262D" w:rsidP="00EC262D">
      <w:pPr>
        <w:keepNext/>
        <w:keepLines/>
        <w:jc w:val="both"/>
        <w:outlineLvl w:val="0"/>
        <w:rPr>
          <w:rFonts w:eastAsiaTheme="majorEastAsia" w:cstheme="majorBidi"/>
          <w:b/>
          <w:color w:val="9E213D" w:themeColor="accent2"/>
          <w:sz w:val="28"/>
          <w:szCs w:val="32"/>
          <w:lang w:val="es-ES" w:eastAsia="es-ES"/>
        </w:rPr>
      </w:pPr>
      <w:bookmarkStart w:id="6" w:name="_Hlk125467787"/>
      <w:r w:rsidRPr="00EC262D">
        <w:rPr>
          <w:rFonts w:eastAsiaTheme="majorEastAsia" w:cstheme="majorBidi"/>
          <w:b/>
          <w:color w:val="9E213D" w:themeColor="accent2"/>
          <w:sz w:val="28"/>
          <w:szCs w:val="32"/>
          <w:lang w:val="es-ES" w:eastAsia="es-ES"/>
        </w:rPr>
        <w:lastRenderedPageBreak/>
        <w:t>Reporte analítico del activo no circulante</w:t>
      </w:r>
    </w:p>
    <w:p w14:paraId="1F82205E" w14:textId="77777777" w:rsidR="00EC262D" w:rsidRPr="00EC262D" w:rsidRDefault="00EC262D" w:rsidP="00EC262D">
      <w:pPr>
        <w:widowControl w:val="0"/>
        <w:jc w:val="both"/>
        <w:rPr>
          <w:rFonts w:cs="Arial"/>
          <w:szCs w:val="20"/>
        </w:rPr>
      </w:pPr>
    </w:p>
    <w:bookmarkEnd w:id="6"/>
    <w:p w14:paraId="5E20856C" w14:textId="77777777" w:rsidR="00EC262D" w:rsidRPr="00EC262D" w:rsidRDefault="00EC262D" w:rsidP="00EC262D">
      <w:pPr>
        <w:widowControl w:val="0"/>
        <w:jc w:val="both"/>
      </w:pPr>
      <w:r w:rsidRPr="00EC262D">
        <w:t>A continuación, se presentan los saldos por tipo de activo no circulante registrado en los estados financieros consolidados de las Instituciones Públicas de Seguridad Social, al 31 de marzo de 2024. Este reporte muestra el total de las adquisiciones que integran su patrimonio.</w:t>
      </w:r>
    </w:p>
    <w:p w14:paraId="20AB60D2" w14:textId="77777777" w:rsidR="00EC262D" w:rsidRPr="00EC262D" w:rsidRDefault="00EC262D" w:rsidP="00EC262D">
      <w:pPr>
        <w:widowControl w:val="0"/>
      </w:pPr>
    </w:p>
    <w:p w14:paraId="69AE10EF" w14:textId="77777777" w:rsidR="00EC262D" w:rsidRPr="00EC262D" w:rsidRDefault="00EC262D" w:rsidP="00EC262D">
      <w:pPr>
        <w:widowControl w:val="0"/>
        <w:jc w:val="center"/>
      </w:pPr>
      <w:r w:rsidRPr="00EC262D">
        <w:rPr>
          <w:rFonts w:asciiTheme="minorHAnsi" w:hAnsiTheme="minorHAnsi"/>
          <w:noProof/>
          <w:sz w:val="22"/>
          <w:lang w:eastAsia="es-MX"/>
        </w:rPr>
        <w:drawing>
          <wp:inline distT="0" distB="0" distL="0" distR="0" wp14:anchorId="1B3BA03A" wp14:editId="597EA2AA">
            <wp:extent cx="6331585" cy="1617144"/>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617144"/>
                    </a:xfrm>
                    <a:prstGeom prst="rect">
                      <a:avLst/>
                    </a:prstGeom>
                    <a:noFill/>
                    <a:ln>
                      <a:noFill/>
                    </a:ln>
                  </pic:spPr>
                </pic:pic>
              </a:graphicData>
            </a:graphic>
          </wp:inline>
        </w:drawing>
      </w:r>
    </w:p>
    <w:p w14:paraId="55CC86F3" w14:textId="77777777" w:rsidR="00EC262D" w:rsidRPr="00EC262D" w:rsidRDefault="00EC262D" w:rsidP="00EC262D">
      <w:pPr>
        <w:rPr>
          <w:b/>
          <w:bCs/>
        </w:rPr>
      </w:pPr>
    </w:p>
    <w:p w14:paraId="22620839" w14:textId="77777777" w:rsidR="00EC262D" w:rsidRPr="00EC262D" w:rsidRDefault="00EC262D" w:rsidP="00EC262D">
      <w:pPr>
        <w:rPr>
          <w:noProof/>
          <w:lang w:eastAsia="es-MX"/>
        </w:rPr>
      </w:pPr>
    </w:p>
    <w:p w14:paraId="25E2346C" w14:textId="77777777" w:rsidR="00EC262D" w:rsidRPr="00EC262D" w:rsidRDefault="00EC262D" w:rsidP="00EC262D">
      <w:pPr>
        <w:rPr>
          <w:noProof/>
          <w:lang w:eastAsia="es-MX"/>
        </w:rPr>
      </w:pPr>
    </w:p>
    <w:p w14:paraId="7201D22C" w14:textId="77777777" w:rsidR="00EC262D" w:rsidRPr="00EC262D" w:rsidRDefault="00EC262D" w:rsidP="00EC262D">
      <w:pPr>
        <w:jc w:val="center"/>
        <w:rPr>
          <w:noProof/>
          <w:lang w:eastAsia="es-MX"/>
        </w:rPr>
      </w:pPr>
      <w:r w:rsidRPr="00EC262D">
        <w:rPr>
          <w:rFonts w:asciiTheme="minorHAnsi" w:hAnsiTheme="minorHAnsi"/>
          <w:noProof/>
          <w:sz w:val="22"/>
          <w:lang w:eastAsia="es-MX"/>
        </w:rPr>
        <w:drawing>
          <wp:inline distT="0" distB="0" distL="0" distR="0" wp14:anchorId="6A334C8A" wp14:editId="4D0C42D8">
            <wp:extent cx="6331585" cy="1753362"/>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753362"/>
                    </a:xfrm>
                    <a:prstGeom prst="rect">
                      <a:avLst/>
                    </a:prstGeom>
                    <a:noFill/>
                    <a:ln>
                      <a:noFill/>
                    </a:ln>
                  </pic:spPr>
                </pic:pic>
              </a:graphicData>
            </a:graphic>
          </wp:inline>
        </w:drawing>
      </w:r>
    </w:p>
    <w:p w14:paraId="4AE8D200" w14:textId="77777777" w:rsidR="00EC262D" w:rsidRPr="00EC262D" w:rsidRDefault="00EC262D" w:rsidP="00EC262D">
      <w:pPr>
        <w:rPr>
          <w:noProof/>
          <w:lang w:eastAsia="es-MX"/>
        </w:rPr>
      </w:pPr>
    </w:p>
    <w:p w14:paraId="60CD391E" w14:textId="77777777" w:rsidR="00EC262D" w:rsidRPr="00EC262D" w:rsidRDefault="00EC262D" w:rsidP="00EC262D">
      <w:pPr>
        <w:rPr>
          <w:noProof/>
          <w:lang w:eastAsia="es-MX"/>
        </w:rPr>
      </w:pPr>
    </w:p>
    <w:p w14:paraId="3C151C0D" w14:textId="77777777" w:rsidR="00EC262D" w:rsidRPr="00EC262D" w:rsidRDefault="00EC262D" w:rsidP="00EC262D">
      <w:pPr>
        <w:rPr>
          <w:noProof/>
          <w:lang w:eastAsia="es-MX"/>
        </w:rPr>
      </w:pPr>
    </w:p>
    <w:p w14:paraId="10E1E4A2" w14:textId="77777777" w:rsidR="00EC262D" w:rsidRPr="00EC262D" w:rsidRDefault="00EC262D" w:rsidP="00EC262D">
      <w:pPr>
        <w:jc w:val="center"/>
        <w:rPr>
          <w:noProof/>
          <w:lang w:eastAsia="es-MX"/>
        </w:rPr>
      </w:pPr>
      <w:r w:rsidRPr="00EC262D">
        <w:rPr>
          <w:rFonts w:asciiTheme="minorHAnsi" w:hAnsiTheme="minorHAnsi"/>
          <w:noProof/>
          <w:sz w:val="22"/>
          <w:lang w:eastAsia="es-MX"/>
        </w:rPr>
        <w:drawing>
          <wp:inline distT="0" distB="0" distL="0" distR="0" wp14:anchorId="6A6D23D8" wp14:editId="78050B54">
            <wp:extent cx="6331585" cy="1578964"/>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578964"/>
                    </a:xfrm>
                    <a:prstGeom prst="rect">
                      <a:avLst/>
                    </a:prstGeom>
                    <a:noFill/>
                    <a:ln>
                      <a:noFill/>
                    </a:ln>
                  </pic:spPr>
                </pic:pic>
              </a:graphicData>
            </a:graphic>
          </wp:inline>
        </w:drawing>
      </w:r>
    </w:p>
    <w:p w14:paraId="450CE063" w14:textId="77777777" w:rsidR="00EC262D" w:rsidRPr="00EC262D" w:rsidRDefault="00EC262D" w:rsidP="00EC262D">
      <w:pPr>
        <w:rPr>
          <w:noProof/>
          <w:lang w:eastAsia="es-MX"/>
        </w:rPr>
      </w:pPr>
    </w:p>
    <w:p w14:paraId="1A08FF06" w14:textId="77777777" w:rsidR="00EC262D" w:rsidRPr="00EC262D" w:rsidRDefault="00EC262D" w:rsidP="00EC262D">
      <w:pPr>
        <w:rPr>
          <w:noProof/>
          <w:lang w:eastAsia="es-MX"/>
        </w:rPr>
      </w:pPr>
    </w:p>
    <w:p w14:paraId="662C407A" w14:textId="77777777" w:rsidR="00EC262D" w:rsidRPr="00EC262D" w:rsidRDefault="00EC262D" w:rsidP="00EC262D">
      <w:pPr>
        <w:rPr>
          <w:noProof/>
          <w:lang w:eastAsia="es-MX"/>
        </w:rPr>
      </w:pPr>
    </w:p>
    <w:p w14:paraId="4AB2641B" w14:textId="77777777" w:rsidR="00EC262D" w:rsidRPr="00EC262D" w:rsidRDefault="00EC262D" w:rsidP="00EC262D">
      <w:pPr>
        <w:jc w:val="center"/>
        <w:rPr>
          <w:noProof/>
          <w:lang w:eastAsia="es-MX"/>
        </w:rPr>
      </w:pPr>
      <w:r w:rsidRPr="00EC262D">
        <w:rPr>
          <w:rFonts w:asciiTheme="minorHAnsi" w:hAnsiTheme="minorHAnsi"/>
          <w:noProof/>
          <w:sz w:val="22"/>
          <w:lang w:eastAsia="es-MX"/>
        </w:rPr>
        <w:lastRenderedPageBreak/>
        <w:drawing>
          <wp:inline distT="0" distB="0" distL="0" distR="0" wp14:anchorId="74908B00" wp14:editId="68317802">
            <wp:extent cx="6331585" cy="1384894"/>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384894"/>
                    </a:xfrm>
                    <a:prstGeom prst="rect">
                      <a:avLst/>
                    </a:prstGeom>
                    <a:noFill/>
                    <a:ln>
                      <a:noFill/>
                    </a:ln>
                  </pic:spPr>
                </pic:pic>
              </a:graphicData>
            </a:graphic>
          </wp:inline>
        </w:drawing>
      </w:r>
    </w:p>
    <w:p w14:paraId="38B74D34" w14:textId="77777777" w:rsidR="00EC262D" w:rsidRPr="00EC262D" w:rsidRDefault="00EC262D" w:rsidP="00EC262D">
      <w:pPr>
        <w:rPr>
          <w:noProof/>
          <w:lang w:eastAsia="es-MX"/>
        </w:rPr>
      </w:pPr>
    </w:p>
    <w:p w14:paraId="6B19A538" w14:textId="77777777" w:rsidR="00EC262D" w:rsidRPr="00EC262D" w:rsidRDefault="00EC262D" w:rsidP="00EC262D">
      <w:pPr>
        <w:rPr>
          <w:noProof/>
          <w:lang w:eastAsia="es-MX"/>
        </w:rPr>
      </w:pPr>
    </w:p>
    <w:p w14:paraId="51E453AC" w14:textId="77777777" w:rsidR="00EC262D" w:rsidRPr="00EC262D" w:rsidRDefault="00EC262D" w:rsidP="00EC262D">
      <w:pPr>
        <w:rPr>
          <w:noProof/>
          <w:lang w:eastAsia="es-MX"/>
        </w:rPr>
      </w:pPr>
    </w:p>
    <w:p w14:paraId="3F6AD0EA" w14:textId="77777777" w:rsidR="00EC262D" w:rsidRPr="00EC262D" w:rsidRDefault="00EC262D" w:rsidP="00EC262D">
      <w:pPr>
        <w:jc w:val="center"/>
      </w:pPr>
      <w:r w:rsidRPr="00EC262D">
        <w:rPr>
          <w:rFonts w:asciiTheme="minorHAnsi" w:hAnsiTheme="minorHAnsi"/>
          <w:noProof/>
          <w:sz w:val="22"/>
          <w:lang w:eastAsia="es-MX"/>
        </w:rPr>
        <w:drawing>
          <wp:inline distT="0" distB="0" distL="0" distR="0" wp14:anchorId="4CD5CC0D" wp14:editId="4101FB12">
            <wp:extent cx="6331585" cy="1801157"/>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801157"/>
                    </a:xfrm>
                    <a:prstGeom prst="rect">
                      <a:avLst/>
                    </a:prstGeom>
                    <a:noFill/>
                    <a:ln>
                      <a:noFill/>
                    </a:ln>
                  </pic:spPr>
                </pic:pic>
              </a:graphicData>
            </a:graphic>
          </wp:inline>
        </w:drawing>
      </w:r>
    </w:p>
    <w:p w14:paraId="7FDD7C44" w14:textId="77777777" w:rsidR="00EC262D" w:rsidRPr="00EC262D" w:rsidRDefault="00EC262D" w:rsidP="00EC262D"/>
    <w:p w14:paraId="73260584" w14:textId="77777777" w:rsidR="00736D7B" w:rsidRDefault="00736D7B" w:rsidP="000116EA">
      <w:pPr>
        <w:jc w:val="both"/>
        <w:rPr>
          <w:rFonts w:eastAsia="Arial" w:cs="Arial"/>
        </w:rPr>
      </w:pPr>
    </w:p>
    <w:sectPr w:rsidR="00736D7B" w:rsidSect="00E902DE">
      <w:headerReference w:type="even" r:id="rId43"/>
      <w:headerReference w:type="default" r:id="rId44"/>
      <w:footerReference w:type="even" r:id="rId45"/>
      <w:footerReference w:type="default" r:id="rId46"/>
      <w:headerReference w:type="first" r:id="rId47"/>
      <w:type w:val="continuous"/>
      <w:pgSz w:w="12240" w:h="15840" w:code="122"/>
      <w:pgMar w:top="567" w:right="851" w:bottom="567" w:left="85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EAEAC" w14:textId="77777777" w:rsidR="000E2024" w:rsidRDefault="000E2024" w:rsidP="00DB7283">
      <w:r>
        <w:separator/>
      </w:r>
    </w:p>
  </w:endnote>
  <w:endnote w:type="continuationSeparator" w:id="0">
    <w:p w14:paraId="157EF896" w14:textId="77777777" w:rsidR="000E2024" w:rsidRDefault="000E2024"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038C" w14:textId="77777777" w:rsidR="00774EEF" w:rsidRPr="00FC6C71" w:rsidRDefault="00774EEF" w:rsidP="005C384A">
    <w:pPr>
      <w:pStyle w:val="Piedepgina"/>
      <w:rPr>
        <w:rStyle w:val="Nmerodepgina"/>
        <w:rFonts w:eastAsia="Kozuka Gothic Pro M" w:cs="Arial"/>
        <w:sz w:val="18"/>
        <w:szCs w:val="18"/>
      </w:rPr>
    </w:pPr>
  </w:p>
  <w:p w14:paraId="2645BE72" w14:textId="77777777" w:rsidR="00774EEF" w:rsidRPr="006A44C4" w:rsidRDefault="00774EEF"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A25CFD">
      <w:rPr>
        <w:rStyle w:val="Nmerodepgina"/>
        <w:rFonts w:ascii="GothamMedium" w:eastAsia="Kozuka Gothic Pro M" w:hAnsi="GothamMedium" w:cs="Arial"/>
        <w:noProof/>
        <w:sz w:val="18"/>
        <w:szCs w:val="20"/>
      </w:rPr>
      <w:t>12</w:t>
    </w:r>
    <w:r w:rsidRPr="006A44C4">
      <w:rPr>
        <w:rStyle w:val="Nmerodepgina"/>
        <w:rFonts w:ascii="GothamMedium" w:eastAsia="Kozuka Gothic Pro M" w:hAnsi="GothamMedium" w:cs="Arial"/>
        <w:sz w:val="18"/>
        <w:szCs w:val="20"/>
      </w:rPr>
      <w:fldChar w:fldCharType="end"/>
    </w:r>
  </w:p>
  <w:p w14:paraId="5CA7D1D0" w14:textId="77777777" w:rsidR="00774EEF" w:rsidRPr="005C384A" w:rsidRDefault="00774EEF"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3A1" w14:textId="77777777" w:rsidR="00774EEF" w:rsidRDefault="00774EEF" w:rsidP="005C384A">
    <w:pPr>
      <w:pStyle w:val="Piedepgina"/>
      <w:rPr>
        <w:rFonts w:cs="Arial"/>
        <w:sz w:val="18"/>
        <w:szCs w:val="18"/>
      </w:rPr>
    </w:pPr>
  </w:p>
  <w:p w14:paraId="75A29DF5" w14:textId="77777777" w:rsidR="00774EEF" w:rsidRPr="006A44C4" w:rsidRDefault="00774EEF" w:rsidP="00C82E6B">
    <w:pPr>
      <w:pStyle w:val="Piedepgina"/>
      <w:framePr w:w="556" w:wrap="around" w:vAnchor="text" w:hAnchor="margin" w:xAlign="right" w:y="75"/>
      <w:jc w:val="right"/>
      <w:rPr>
        <w:rStyle w:val="Nmerodepgina"/>
        <w:rFonts w:ascii="GothamMedium" w:eastAsia="Kozuka Gothic Pro M" w:hAnsi="GothamMedium"/>
        <w:sz w:val="18"/>
        <w:szCs w:val="20"/>
      </w:rPr>
    </w:pPr>
    <w:r w:rsidRPr="006A44C4">
      <w:rPr>
        <w:rStyle w:val="Nmerodepgina"/>
        <w:rFonts w:ascii="GothamMedium" w:eastAsia="Kozuka Gothic Pro M" w:hAnsi="GothamMedium"/>
        <w:sz w:val="18"/>
        <w:szCs w:val="20"/>
      </w:rPr>
      <w:fldChar w:fldCharType="begin"/>
    </w:r>
    <w:r w:rsidRPr="006A44C4">
      <w:rPr>
        <w:rStyle w:val="Nmerodepgina"/>
        <w:rFonts w:ascii="GothamMedium" w:eastAsia="Kozuka Gothic Pro M" w:hAnsi="GothamMedium"/>
        <w:sz w:val="18"/>
        <w:szCs w:val="20"/>
      </w:rPr>
      <w:instrText xml:space="preserve">PAGE  </w:instrText>
    </w:r>
    <w:r w:rsidRPr="006A44C4">
      <w:rPr>
        <w:rStyle w:val="Nmerodepgina"/>
        <w:rFonts w:ascii="GothamMedium" w:eastAsia="Kozuka Gothic Pro M" w:hAnsi="GothamMedium"/>
        <w:sz w:val="18"/>
        <w:szCs w:val="20"/>
      </w:rPr>
      <w:fldChar w:fldCharType="separate"/>
    </w:r>
    <w:r w:rsidR="00A25CFD">
      <w:rPr>
        <w:rStyle w:val="Nmerodepgina"/>
        <w:rFonts w:ascii="GothamMedium" w:eastAsia="Kozuka Gothic Pro M" w:hAnsi="GothamMedium"/>
        <w:noProof/>
        <w:sz w:val="18"/>
        <w:szCs w:val="20"/>
      </w:rPr>
      <w:t>13</w:t>
    </w:r>
    <w:r w:rsidRPr="006A44C4">
      <w:rPr>
        <w:rStyle w:val="Nmerodepgina"/>
        <w:rFonts w:ascii="GothamMedium" w:eastAsia="Kozuka Gothic Pro M" w:hAnsi="GothamMedium"/>
        <w:sz w:val="18"/>
        <w:szCs w:val="20"/>
      </w:rPr>
      <w:fldChar w:fldCharType="end"/>
    </w:r>
  </w:p>
  <w:p w14:paraId="7A92C23A" w14:textId="77777777" w:rsidR="00774EEF" w:rsidRPr="005C384A" w:rsidRDefault="00774EEF" w:rsidP="005C384A">
    <w:pPr>
      <w:pStyle w:val="Piedepgina"/>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3760" w14:textId="77777777" w:rsidR="000E2024" w:rsidRDefault="000E2024" w:rsidP="00DB7283">
      <w:r>
        <w:separator/>
      </w:r>
    </w:p>
  </w:footnote>
  <w:footnote w:type="continuationSeparator" w:id="0">
    <w:p w14:paraId="4667A1E0" w14:textId="77777777" w:rsidR="000E2024" w:rsidRDefault="000E2024"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F0C3" w14:textId="77777777" w:rsidR="00C82E6B" w:rsidRDefault="00C82E6B" w:rsidP="00C82E6B">
    <w:pPr>
      <w:pStyle w:val="Encabezado"/>
      <w:spacing w:after="120"/>
      <w:rPr>
        <w:rFonts w:cs="Arial"/>
      </w:rPr>
    </w:pPr>
    <w:r>
      <w:rPr>
        <w:noProof/>
        <w:lang w:eastAsia="es-MX"/>
      </w:rPr>
      <w:drawing>
        <wp:anchor distT="0" distB="0" distL="114300" distR="114300" simplePos="0" relativeHeight="251659264" behindDoc="0" locked="0" layoutInCell="1" allowOverlap="1" wp14:anchorId="57052952" wp14:editId="7C0F18CF">
          <wp:simplePos x="0" y="0"/>
          <wp:positionH relativeFrom="margin">
            <wp:posOffset>-1270</wp:posOffset>
          </wp:positionH>
          <wp:positionV relativeFrom="paragraph">
            <wp:posOffset>-92075</wp:posOffset>
          </wp:positionV>
          <wp:extent cx="1454785" cy="3810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7" w:name="_Hlk124766720"/>
    <w:bookmarkStart w:id="8" w:name="_Hlk124766719"/>
  </w:p>
  <w:bookmarkEnd w:id="7"/>
  <w:bookmarkEnd w:id="8"/>
  <w:p w14:paraId="0DD52F6D" w14:textId="77777777" w:rsidR="00C82E6B" w:rsidRDefault="00C82E6B" w:rsidP="00C82E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D0B5" w14:textId="77777777" w:rsidR="00E902DE" w:rsidRDefault="00E902DE" w:rsidP="00E902D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704" behindDoc="0" locked="0" layoutInCell="1" allowOverlap="1" wp14:anchorId="2268F78D" wp14:editId="2FEDA86D">
              <wp:simplePos x="0" y="0"/>
              <wp:positionH relativeFrom="margin">
                <wp:align>right</wp:align>
              </wp:positionH>
              <wp:positionV relativeFrom="paragraph">
                <wp:posOffset>-212090</wp:posOffset>
              </wp:positionV>
              <wp:extent cx="6686550" cy="381000"/>
              <wp:effectExtent l="0" t="0" r="0" b="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FACD" w14:textId="77777777" w:rsidR="00E902DE" w:rsidRDefault="00E902DE" w:rsidP="00E902DE">
                          <w:pPr>
                            <w:jc w:val="center"/>
                            <w:rPr>
                              <w:rFonts w:ascii="HelveticaNeueLT Std Lt" w:eastAsia="Kozuka Gothic Pro B" w:hAnsi="HelveticaNeueLT Std Lt"/>
                              <w:b/>
                            </w:rPr>
                          </w:pPr>
                          <w:r>
                            <w:rPr>
                              <w:rFonts w:ascii="HelveticaNeueLT Std Lt" w:eastAsia="Kozuka Gothic Pro B" w:hAnsi="HelveticaNeueLT Std Lt"/>
                              <w:b/>
                            </w:rPr>
                            <w:t>INSTITUCIONES PÚBLICAS DE SEGURIDAD SOCIAL</w:t>
                          </w:r>
                        </w:p>
                        <w:p w14:paraId="3F0A5267" w14:textId="43F3AA02" w:rsidR="00E902DE" w:rsidRDefault="00E902DE" w:rsidP="00E902DE">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59581F">
                            <w:rPr>
                              <w:rFonts w:ascii="HelveticaNeueLT Std Lt" w:eastAsia="Kozuka Gothic Pro B" w:hAnsi="HelveticaNeueLT Std Lt"/>
                            </w:rPr>
                            <w:t>4</w:t>
                          </w:r>
                        </w:p>
                        <w:p w14:paraId="0A0821A6" w14:textId="77777777" w:rsidR="00E902DE" w:rsidRPr="00CB4010" w:rsidRDefault="00E902DE" w:rsidP="00E902DE">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F78D"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dCtw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" filled="f" stroked="f">
              <v:textbox>
                <w:txbxContent>
                  <w:p w14:paraId="4188FACD" w14:textId="77777777" w:rsidR="00E902DE" w:rsidRDefault="00E902DE" w:rsidP="00E902DE">
                    <w:pPr>
                      <w:jc w:val="center"/>
                      <w:rPr>
                        <w:rFonts w:ascii="HelveticaNeueLT Std Lt" w:eastAsia="Kozuka Gothic Pro B" w:hAnsi="HelveticaNeueLT Std Lt"/>
                        <w:b/>
                      </w:rPr>
                    </w:pPr>
                    <w:r>
                      <w:rPr>
                        <w:rFonts w:ascii="HelveticaNeueLT Std Lt" w:eastAsia="Kozuka Gothic Pro B" w:hAnsi="HelveticaNeueLT Std Lt"/>
                        <w:b/>
                      </w:rPr>
                      <w:t>INSTITUCIONES PÚBLICAS DE SEGURIDAD SOCIAL</w:t>
                    </w:r>
                  </w:p>
                  <w:p w14:paraId="3F0A5267" w14:textId="43F3AA02" w:rsidR="00E902DE" w:rsidRDefault="00E902DE" w:rsidP="00E902DE">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59581F">
                      <w:rPr>
                        <w:rFonts w:ascii="HelveticaNeueLT Std Lt" w:eastAsia="Kozuka Gothic Pro B" w:hAnsi="HelveticaNeueLT Std Lt"/>
                      </w:rPr>
                      <w:t>4</w:t>
                    </w:r>
                  </w:p>
                  <w:p w14:paraId="0A0821A6" w14:textId="77777777" w:rsidR="00E902DE" w:rsidRPr="00CB4010" w:rsidRDefault="00E902DE" w:rsidP="00E902DE">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4B632D05" wp14:editId="36C30756">
          <wp:simplePos x="0" y="0"/>
          <wp:positionH relativeFrom="page">
            <wp:align>right</wp:align>
          </wp:positionH>
          <wp:positionV relativeFrom="paragraph">
            <wp:posOffset>-231140</wp:posOffset>
          </wp:positionV>
          <wp:extent cx="7772400" cy="4667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80352E5" w14:textId="77777777" w:rsidR="00E902DE" w:rsidRDefault="00E902DE" w:rsidP="00E902DE">
    <w:pPr>
      <w:pStyle w:val="Encabezado"/>
      <w:tabs>
        <w:tab w:val="left" w:pos="4860"/>
      </w:tabs>
      <w:ind w:right="846"/>
      <w:jc w:val="right"/>
      <w:rPr>
        <w:rFonts w:ascii="Romana BT" w:hAnsi="Romana BT"/>
        <w:b/>
        <w:sz w:val="16"/>
        <w:szCs w:val="16"/>
      </w:rPr>
    </w:pPr>
  </w:p>
  <w:p w14:paraId="428FFC4C" w14:textId="77777777" w:rsidR="00E902DE" w:rsidRDefault="00E902DE" w:rsidP="00E902DE">
    <w:pPr>
      <w:pStyle w:val="Encabezado"/>
      <w:tabs>
        <w:tab w:val="left" w:pos="4860"/>
      </w:tabs>
      <w:ind w:right="846"/>
      <w:jc w:val="right"/>
      <w:rPr>
        <w:rFonts w:ascii="Romana BT" w:hAnsi="Romana BT"/>
        <w:b/>
        <w:sz w:val="16"/>
        <w:szCs w:val="16"/>
      </w:rPr>
    </w:pPr>
  </w:p>
  <w:p w14:paraId="28CED909" w14:textId="77777777" w:rsidR="00E902DE" w:rsidRDefault="00E902DE" w:rsidP="00E902DE">
    <w:pPr>
      <w:jc w:val="both"/>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8259" w14:textId="77777777" w:rsidR="00774EEF" w:rsidRDefault="00774EEF">
    <w:pPr>
      <w:pStyle w:val="Encabezado"/>
    </w:pPr>
    <w:r>
      <w:rPr>
        <w:noProof/>
        <w:lang w:eastAsia="es-MX"/>
      </w:rPr>
      <w:drawing>
        <wp:anchor distT="0" distB="0" distL="114300" distR="114300" simplePos="0" relativeHeight="251656192" behindDoc="0" locked="0" layoutInCell="1" allowOverlap="1" wp14:anchorId="6A37BE39" wp14:editId="778988D0">
          <wp:simplePos x="723900" y="447675"/>
          <wp:positionH relativeFrom="page">
            <wp:align>center</wp:align>
          </wp:positionH>
          <wp:positionV relativeFrom="page">
            <wp:align>center</wp:align>
          </wp:positionV>
          <wp:extent cx="7229475" cy="93554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satiliz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9563" cy="9355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3"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34"/>
  </w:num>
  <w:num w:numId="4">
    <w:abstractNumId w:val="2"/>
  </w:num>
  <w:num w:numId="5">
    <w:abstractNumId w:val="1"/>
  </w:num>
  <w:num w:numId="6">
    <w:abstractNumId w:val="17"/>
  </w:num>
  <w:num w:numId="7">
    <w:abstractNumId w:val="37"/>
  </w:num>
  <w:num w:numId="8">
    <w:abstractNumId w:val="32"/>
  </w:num>
  <w:num w:numId="9">
    <w:abstractNumId w:val="36"/>
  </w:num>
  <w:num w:numId="10">
    <w:abstractNumId w:val="26"/>
  </w:num>
  <w:num w:numId="11">
    <w:abstractNumId w:val="3"/>
  </w:num>
  <w:num w:numId="12">
    <w:abstractNumId w:val="24"/>
  </w:num>
  <w:num w:numId="13">
    <w:abstractNumId w:val="30"/>
  </w:num>
  <w:num w:numId="14">
    <w:abstractNumId w:val="4"/>
  </w:num>
  <w:num w:numId="15">
    <w:abstractNumId w:val="38"/>
  </w:num>
  <w:num w:numId="16">
    <w:abstractNumId w:val="14"/>
  </w:num>
  <w:num w:numId="17">
    <w:abstractNumId w:val="15"/>
  </w:num>
  <w:num w:numId="18">
    <w:abstractNumId w:val="6"/>
  </w:num>
  <w:num w:numId="19">
    <w:abstractNumId w:val="29"/>
  </w:num>
  <w:num w:numId="20">
    <w:abstractNumId w:val="5"/>
  </w:num>
  <w:num w:numId="21">
    <w:abstractNumId w:val="33"/>
  </w:num>
  <w:num w:numId="22">
    <w:abstractNumId w:val="19"/>
  </w:num>
  <w:num w:numId="23">
    <w:abstractNumId w:val="10"/>
  </w:num>
  <w:num w:numId="24">
    <w:abstractNumId w:val="13"/>
  </w:num>
  <w:num w:numId="25">
    <w:abstractNumId w:val="20"/>
  </w:num>
  <w:num w:numId="26">
    <w:abstractNumId w:val="31"/>
  </w:num>
  <w:num w:numId="27">
    <w:abstractNumId w:val="12"/>
  </w:num>
  <w:num w:numId="28">
    <w:abstractNumId w:val="27"/>
  </w:num>
  <w:num w:numId="29">
    <w:abstractNumId w:val="9"/>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18"/>
  </w:num>
  <w:num w:numId="35">
    <w:abstractNumId w:val="8"/>
  </w:num>
  <w:num w:numId="36">
    <w:abstractNumId w:val="7"/>
  </w:num>
  <w:num w:numId="37">
    <w:abstractNumId w:val="35"/>
  </w:num>
  <w:num w:numId="38">
    <w:abstractNumId w:val="28"/>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106F1"/>
    <w:rsid w:val="000116EA"/>
    <w:rsid w:val="000136ED"/>
    <w:rsid w:val="0002371A"/>
    <w:rsid w:val="0003477B"/>
    <w:rsid w:val="00057F5A"/>
    <w:rsid w:val="00062511"/>
    <w:rsid w:val="000641E9"/>
    <w:rsid w:val="00064BB7"/>
    <w:rsid w:val="00065AE9"/>
    <w:rsid w:val="000703AF"/>
    <w:rsid w:val="00081178"/>
    <w:rsid w:val="00083BD8"/>
    <w:rsid w:val="000A1384"/>
    <w:rsid w:val="000A3A2E"/>
    <w:rsid w:val="000A74A8"/>
    <w:rsid w:val="000A76ED"/>
    <w:rsid w:val="000B2064"/>
    <w:rsid w:val="000B5FCA"/>
    <w:rsid w:val="000C30F0"/>
    <w:rsid w:val="000E2024"/>
    <w:rsid w:val="000F7E26"/>
    <w:rsid w:val="001115B3"/>
    <w:rsid w:val="00114860"/>
    <w:rsid w:val="001270B1"/>
    <w:rsid w:val="00134780"/>
    <w:rsid w:val="001451AC"/>
    <w:rsid w:val="001532AE"/>
    <w:rsid w:val="00154629"/>
    <w:rsid w:val="00164FDA"/>
    <w:rsid w:val="00181D46"/>
    <w:rsid w:val="00187DEB"/>
    <w:rsid w:val="00196DEF"/>
    <w:rsid w:val="001A198A"/>
    <w:rsid w:val="001A7C03"/>
    <w:rsid w:val="001D701E"/>
    <w:rsid w:val="001E0468"/>
    <w:rsid w:val="001E7AB0"/>
    <w:rsid w:val="001F4F24"/>
    <w:rsid w:val="002000F9"/>
    <w:rsid w:val="00202E61"/>
    <w:rsid w:val="0021616B"/>
    <w:rsid w:val="00222D54"/>
    <w:rsid w:val="00254D17"/>
    <w:rsid w:val="00261F2C"/>
    <w:rsid w:val="0026489A"/>
    <w:rsid w:val="00275730"/>
    <w:rsid w:val="00276B72"/>
    <w:rsid w:val="00292184"/>
    <w:rsid w:val="0029544E"/>
    <w:rsid w:val="002B4241"/>
    <w:rsid w:val="002E7DA2"/>
    <w:rsid w:val="002F2803"/>
    <w:rsid w:val="00304035"/>
    <w:rsid w:val="0032087A"/>
    <w:rsid w:val="00322F2C"/>
    <w:rsid w:val="003250C1"/>
    <w:rsid w:val="00332638"/>
    <w:rsid w:val="00337BF5"/>
    <w:rsid w:val="00346F67"/>
    <w:rsid w:val="00360BB8"/>
    <w:rsid w:val="00364949"/>
    <w:rsid w:val="003674BA"/>
    <w:rsid w:val="003706E9"/>
    <w:rsid w:val="00373E74"/>
    <w:rsid w:val="0038338F"/>
    <w:rsid w:val="00392D97"/>
    <w:rsid w:val="003A214A"/>
    <w:rsid w:val="003C183F"/>
    <w:rsid w:val="003C5B2A"/>
    <w:rsid w:val="003C68AC"/>
    <w:rsid w:val="003D133A"/>
    <w:rsid w:val="003D4EAD"/>
    <w:rsid w:val="003E422C"/>
    <w:rsid w:val="003E6FEF"/>
    <w:rsid w:val="003F0525"/>
    <w:rsid w:val="004040E9"/>
    <w:rsid w:val="00410A98"/>
    <w:rsid w:val="00422D8D"/>
    <w:rsid w:val="004256E3"/>
    <w:rsid w:val="004363C7"/>
    <w:rsid w:val="004373BC"/>
    <w:rsid w:val="00437D93"/>
    <w:rsid w:val="00437E34"/>
    <w:rsid w:val="00440EF2"/>
    <w:rsid w:val="00447573"/>
    <w:rsid w:val="00463FD1"/>
    <w:rsid w:val="00476CE9"/>
    <w:rsid w:val="0047737B"/>
    <w:rsid w:val="00485A94"/>
    <w:rsid w:val="00490F5F"/>
    <w:rsid w:val="004A70CE"/>
    <w:rsid w:val="004B4A31"/>
    <w:rsid w:val="004C5DB5"/>
    <w:rsid w:val="004D38E0"/>
    <w:rsid w:val="004D502C"/>
    <w:rsid w:val="004D7D38"/>
    <w:rsid w:val="004E0557"/>
    <w:rsid w:val="004E2024"/>
    <w:rsid w:val="004E471F"/>
    <w:rsid w:val="004E77CD"/>
    <w:rsid w:val="004E7CDC"/>
    <w:rsid w:val="004F4200"/>
    <w:rsid w:val="00501EDF"/>
    <w:rsid w:val="00516885"/>
    <w:rsid w:val="0051734D"/>
    <w:rsid w:val="00542EB6"/>
    <w:rsid w:val="005508A1"/>
    <w:rsid w:val="005667D9"/>
    <w:rsid w:val="00584043"/>
    <w:rsid w:val="00587ABE"/>
    <w:rsid w:val="0059581F"/>
    <w:rsid w:val="005A110D"/>
    <w:rsid w:val="005B2131"/>
    <w:rsid w:val="005B7C04"/>
    <w:rsid w:val="005C384A"/>
    <w:rsid w:val="005C5BCB"/>
    <w:rsid w:val="005F735A"/>
    <w:rsid w:val="00600B2F"/>
    <w:rsid w:val="00605D8B"/>
    <w:rsid w:val="00613B8E"/>
    <w:rsid w:val="00621F09"/>
    <w:rsid w:val="00633D2F"/>
    <w:rsid w:val="00641F91"/>
    <w:rsid w:val="006540EF"/>
    <w:rsid w:val="00656A57"/>
    <w:rsid w:val="00661427"/>
    <w:rsid w:val="006622E6"/>
    <w:rsid w:val="006675B5"/>
    <w:rsid w:val="00670FDE"/>
    <w:rsid w:val="00674F65"/>
    <w:rsid w:val="00677E90"/>
    <w:rsid w:val="006813F9"/>
    <w:rsid w:val="00692233"/>
    <w:rsid w:val="00692DB2"/>
    <w:rsid w:val="006B22CD"/>
    <w:rsid w:val="006B3427"/>
    <w:rsid w:val="006E216B"/>
    <w:rsid w:val="006E2ED6"/>
    <w:rsid w:val="0071614C"/>
    <w:rsid w:val="007346C4"/>
    <w:rsid w:val="007354EB"/>
    <w:rsid w:val="00736D7B"/>
    <w:rsid w:val="00743299"/>
    <w:rsid w:val="0075128B"/>
    <w:rsid w:val="0075780B"/>
    <w:rsid w:val="00774EEF"/>
    <w:rsid w:val="00776ED4"/>
    <w:rsid w:val="007820ED"/>
    <w:rsid w:val="00792159"/>
    <w:rsid w:val="007A05D8"/>
    <w:rsid w:val="007A4034"/>
    <w:rsid w:val="007B5D1B"/>
    <w:rsid w:val="007E576B"/>
    <w:rsid w:val="007F1E51"/>
    <w:rsid w:val="0080132D"/>
    <w:rsid w:val="00805547"/>
    <w:rsid w:val="00826844"/>
    <w:rsid w:val="0083337A"/>
    <w:rsid w:val="008373A9"/>
    <w:rsid w:val="008404D3"/>
    <w:rsid w:val="00841BFB"/>
    <w:rsid w:val="00843277"/>
    <w:rsid w:val="0085304D"/>
    <w:rsid w:val="008614CA"/>
    <w:rsid w:val="008671B8"/>
    <w:rsid w:val="00874AFC"/>
    <w:rsid w:val="00876199"/>
    <w:rsid w:val="00885B5B"/>
    <w:rsid w:val="008B4BFB"/>
    <w:rsid w:val="008B7353"/>
    <w:rsid w:val="008C0831"/>
    <w:rsid w:val="008C2211"/>
    <w:rsid w:val="008C2313"/>
    <w:rsid w:val="008C26DF"/>
    <w:rsid w:val="008D627A"/>
    <w:rsid w:val="008F078C"/>
    <w:rsid w:val="008F236C"/>
    <w:rsid w:val="00901BE6"/>
    <w:rsid w:val="0090348D"/>
    <w:rsid w:val="00920E99"/>
    <w:rsid w:val="00925B31"/>
    <w:rsid w:val="009277ED"/>
    <w:rsid w:val="00930FBB"/>
    <w:rsid w:val="00955F93"/>
    <w:rsid w:val="00960D99"/>
    <w:rsid w:val="009610D3"/>
    <w:rsid w:val="00977FCC"/>
    <w:rsid w:val="0098187C"/>
    <w:rsid w:val="009828C2"/>
    <w:rsid w:val="00997DAC"/>
    <w:rsid w:val="009A3510"/>
    <w:rsid w:val="009C02EB"/>
    <w:rsid w:val="009C621A"/>
    <w:rsid w:val="009D1F35"/>
    <w:rsid w:val="009D55D9"/>
    <w:rsid w:val="009F0027"/>
    <w:rsid w:val="009F0BCD"/>
    <w:rsid w:val="009F5A01"/>
    <w:rsid w:val="00A01F9B"/>
    <w:rsid w:val="00A050C0"/>
    <w:rsid w:val="00A066DB"/>
    <w:rsid w:val="00A25CFD"/>
    <w:rsid w:val="00A25DE4"/>
    <w:rsid w:val="00A307A1"/>
    <w:rsid w:val="00A65C38"/>
    <w:rsid w:val="00A818A7"/>
    <w:rsid w:val="00A84911"/>
    <w:rsid w:val="00A85213"/>
    <w:rsid w:val="00A87CC7"/>
    <w:rsid w:val="00A92821"/>
    <w:rsid w:val="00A96D2C"/>
    <w:rsid w:val="00AC29FE"/>
    <w:rsid w:val="00AC7191"/>
    <w:rsid w:val="00AF5897"/>
    <w:rsid w:val="00B177F0"/>
    <w:rsid w:val="00B240D8"/>
    <w:rsid w:val="00B3115A"/>
    <w:rsid w:val="00B4045A"/>
    <w:rsid w:val="00B4149F"/>
    <w:rsid w:val="00B43021"/>
    <w:rsid w:val="00B44BB4"/>
    <w:rsid w:val="00B461F7"/>
    <w:rsid w:val="00B65362"/>
    <w:rsid w:val="00B7198D"/>
    <w:rsid w:val="00BA34E5"/>
    <w:rsid w:val="00BD0393"/>
    <w:rsid w:val="00BD3C3B"/>
    <w:rsid w:val="00BE3AFA"/>
    <w:rsid w:val="00C15024"/>
    <w:rsid w:val="00C33DD4"/>
    <w:rsid w:val="00C709AC"/>
    <w:rsid w:val="00C801FF"/>
    <w:rsid w:val="00C82E6B"/>
    <w:rsid w:val="00C90EBB"/>
    <w:rsid w:val="00C9299F"/>
    <w:rsid w:val="00CB31BF"/>
    <w:rsid w:val="00CB6FB1"/>
    <w:rsid w:val="00CC7DA8"/>
    <w:rsid w:val="00CD2343"/>
    <w:rsid w:val="00CD3EA9"/>
    <w:rsid w:val="00CD5490"/>
    <w:rsid w:val="00CE3686"/>
    <w:rsid w:val="00CF02E8"/>
    <w:rsid w:val="00D028F8"/>
    <w:rsid w:val="00D063F8"/>
    <w:rsid w:val="00D10BDC"/>
    <w:rsid w:val="00D1733F"/>
    <w:rsid w:val="00D21C3D"/>
    <w:rsid w:val="00D30900"/>
    <w:rsid w:val="00D31EAC"/>
    <w:rsid w:val="00D32B48"/>
    <w:rsid w:val="00D35417"/>
    <w:rsid w:val="00D35C49"/>
    <w:rsid w:val="00D44586"/>
    <w:rsid w:val="00D60005"/>
    <w:rsid w:val="00D60D97"/>
    <w:rsid w:val="00D74FEC"/>
    <w:rsid w:val="00D92900"/>
    <w:rsid w:val="00D95208"/>
    <w:rsid w:val="00DA53D6"/>
    <w:rsid w:val="00DB33E0"/>
    <w:rsid w:val="00DB7283"/>
    <w:rsid w:val="00DE717F"/>
    <w:rsid w:val="00DE7223"/>
    <w:rsid w:val="00DF2A2E"/>
    <w:rsid w:val="00DF5DAC"/>
    <w:rsid w:val="00E113B5"/>
    <w:rsid w:val="00E12790"/>
    <w:rsid w:val="00E24F39"/>
    <w:rsid w:val="00E26984"/>
    <w:rsid w:val="00E31AE3"/>
    <w:rsid w:val="00E41383"/>
    <w:rsid w:val="00E45AE1"/>
    <w:rsid w:val="00E501C0"/>
    <w:rsid w:val="00E54BF6"/>
    <w:rsid w:val="00E75485"/>
    <w:rsid w:val="00E812ED"/>
    <w:rsid w:val="00E8649D"/>
    <w:rsid w:val="00E86821"/>
    <w:rsid w:val="00E87C88"/>
    <w:rsid w:val="00E900EF"/>
    <w:rsid w:val="00E902DE"/>
    <w:rsid w:val="00EA109D"/>
    <w:rsid w:val="00EB2C42"/>
    <w:rsid w:val="00EB529F"/>
    <w:rsid w:val="00EC262D"/>
    <w:rsid w:val="00EC6607"/>
    <w:rsid w:val="00EC6F35"/>
    <w:rsid w:val="00EE053E"/>
    <w:rsid w:val="00EE1A85"/>
    <w:rsid w:val="00EE5396"/>
    <w:rsid w:val="00EF5AA6"/>
    <w:rsid w:val="00F12BBF"/>
    <w:rsid w:val="00F16034"/>
    <w:rsid w:val="00F16D38"/>
    <w:rsid w:val="00F27367"/>
    <w:rsid w:val="00F50227"/>
    <w:rsid w:val="00F51011"/>
    <w:rsid w:val="00F52EB1"/>
    <w:rsid w:val="00F55119"/>
    <w:rsid w:val="00F61ADE"/>
    <w:rsid w:val="00F63A08"/>
    <w:rsid w:val="00F662F2"/>
    <w:rsid w:val="00F73F00"/>
    <w:rsid w:val="00F818CD"/>
    <w:rsid w:val="00FC22E9"/>
    <w:rsid w:val="00FC6C71"/>
    <w:rsid w:val="00FC742A"/>
    <w:rsid w:val="00FD003F"/>
    <w:rsid w:val="00FD3654"/>
    <w:rsid w:val="00FD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F5ACC6"/>
  <w15:docId w15:val="{EC0D3A75-F78B-4499-BA88-7848963B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911"/>
    <w:pPr>
      <w:spacing w:after="0" w:line="240" w:lineRule="auto"/>
    </w:pPr>
    <w:rPr>
      <w:rFonts w:ascii="Arial" w:hAnsi="Arial"/>
      <w:sz w:val="20"/>
    </w:rPr>
  </w:style>
  <w:style w:type="paragraph" w:styleId="Ttulo1">
    <w:name w:val="heading 1"/>
    <w:basedOn w:val="Normal"/>
    <w:next w:val="Normal"/>
    <w:link w:val="Ttulo1Car"/>
    <w:autoRedefine/>
    <w:qFormat/>
    <w:rsid w:val="00A84911"/>
    <w:pPr>
      <w:keepNext/>
      <w:jc w:val="both"/>
      <w:outlineLvl w:val="0"/>
    </w:pPr>
    <w:rPr>
      <w:rFonts w:eastAsiaTheme="majorEastAsia" w:cs="Times New Roman"/>
      <w:b/>
      <w:color w:val="9E213D" w:themeColor="accent2"/>
      <w:sz w:val="28"/>
      <w:szCs w:val="24"/>
      <w:lang w:eastAsia="es-ES"/>
    </w:rPr>
  </w:style>
  <w:style w:type="paragraph" w:styleId="Ttulo2">
    <w:name w:val="heading 2"/>
    <w:basedOn w:val="Normal"/>
    <w:next w:val="Normal"/>
    <w:link w:val="Ttulo2Car"/>
    <w:autoRedefine/>
    <w:uiPriority w:val="9"/>
    <w:qFormat/>
    <w:rsid w:val="004F4200"/>
    <w:pPr>
      <w:keepNext/>
      <w:jc w:val="center"/>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iPriority w:val="99"/>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unhideWhenUsed/>
    <w:rsid w:val="006540EF"/>
    <w:rPr>
      <w:rFonts w:ascii="Segoe UI" w:hAnsi="Segoe UI" w:cs="Segoe UI"/>
      <w:sz w:val="18"/>
      <w:szCs w:val="18"/>
    </w:rPr>
  </w:style>
  <w:style w:type="character" w:customStyle="1" w:styleId="TextodegloboCar">
    <w:name w:val="Texto de globo Car"/>
    <w:basedOn w:val="Fuentedeprrafopredeter"/>
    <w:link w:val="Textodeglobo"/>
    <w:uiPriority w:val="99"/>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A84911"/>
    <w:rPr>
      <w:rFonts w:ascii="Arial" w:eastAsiaTheme="majorEastAsia" w:hAnsi="Arial" w:cs="Times New Roman"/>
      <w:b/>
      <w:color w:val="9E213D" w:themeColor="accent2"/>
      <w:sz w:val="28"/>
      <w:szCs w:val="24"/>
      <w:lang w:eastAsia="es-ES"/>
    </w:rPr>
  </w:style>
  <w:style w:type="character" w:customStyle="1" w:styleId="Ttulo2Car">
    <w:name w:val="Título 2 Car"/>
    <w:basedOn w:val="Fuentedeprrafopredeter"/>
    <w:link w:val="Ttulo2"/>
    <w:uiPriority w:val="9"/>
    <w:rsid w:val="004F4200"/>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32087A"/>
    <w:rPr>
      <w:rFonts w:eastAsia="Times New Roman" w:cs="Arial"/>
      <w:b/>
      <w:bCs/>
      <w:sz w:val="24"/>
      <w:szCs w:val="24"/>
      <w:lang w:val="es-ES" w:eastAsia="es-ES"/>
    </w:rPr>
  </w:style>
  <w:style w:type="character" w:customStyle="1" w:styleId="SubttuloCar">
    <w:name w:val="Subtítulo Car"/>
    <w:basedOn w:val="Fuentedeprrafopredeter"/>
    <w:link w:val="Subttulo"/>
    <w:rsid w:val="0032087A"/>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_rels/header3.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DEAE-6B0D-4765-92C5-05A7ACB9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3480</Words>
  <Characters>19143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2023-03-10T23:46:00Z</cp:lastPrinted>
  <dcterms:created xsi:type="dcterms:W3CDTF">2024-06-11T19:15:00Z</dcterms:created>
  <dcterms:modified xsi:type="dcterms:W3CDTF">2024-06-11T19:15:00Z</dcterms:modified>
</cp:coreProperties>
</file>