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9E644E" w:rsidRPr="004D43A9" w:rsidRDefault="009E644E" w:rsidP="00831BB1">
      <w:pPr>
        <w:jc w:val="both"/>
      </w:pPr>
    </w:p>
    <w:p w:rsidR="003E754C" w:rsidRPr="002C3B57" w:rsidRDefault="003E754C" w:rsidP="003E754C">
      <w:pPr>
        <w:ind w:right="191"/>
        <w:jc w:val="both"/>
        <w:rPr>
          <w:iCs w:val="0"/>
        </w:rPr>
      </w:pPr>
      <w:r w:rsidRPr="002C3B57">
        <w:rPr>
          <w:iCs w:val="0"/>
        </w:rPr>
        <w:t xml:space="preserve">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w:t>
      </w:r>
      <w:bookmarkStart w:id="0" w:name="_GoBack"/>
      <w:bookmarkEnd w:id="0"/>
      <w:r w:rsidRPr="002C3B57">
        <w:rPr>
          <w:iCs w:val="0"/>
        </w:rPr>
        <w:t>su actualización y recargos, los que no se consideran deuda pública a cargo del Estado, de conformidad con el artículo 430 del CHPECH.</w:t>
      </w:r>
    </w:p>
    <w:p w:rsidR="003E754C" w:rsidRPr="002C3B57" w:rsidRDefault="003E754C" w:rsidP="003E754C">
      <w:pPr>
        <w:ind w:right="191"/>
        <w:jc w:val="both"/>
        <w:rPr>
          <w:iCs w:val="0"/>
        </w:rPr>
      </w:pPr>
    </w:p>
    <w:p w:rsidR="003E754C" w:rsidRPr="002C3B57" w:rsidRDefault="003E754C" w:rsidP="003E754C">
      <w:pPr>
        <w:ind w:right="191"/>
        <w:jc w:val="both"/>
        <w:rPr>
          <w:iCs w:val="0"/>
        </w:rPr>
      </w:pPr>
      <w:r w:rsidRPr="002C3B57">
        <w:rPr>
          <w:iCs w:val="0"/>
        </w:rPr>
        <w:t>Durante el presente ejercicio, al mes de marzo de 2024, se ha liquidado un importe de 183.8 millones de pesos correspondientes a los intereses generados.</w:t>
      </w:r>
    </w:p>
    <w:p w:rsidR="003E754C" w:rsidRPr="002C3B57" w:rsidRDefault="003E754C" w:rsidP="003E754C">
      <w:pPr>
        <w:ind w:right="191"/>
        <w:jc w:val="both"/>
        <w:rPr>
          <w:iCs w:val="0"/>
        </w:rPr>
      </w:pPr>
    </w:p>
    <w:p w:rsidR="003E754C" w:rsidRPr="002C3B57" w:rsidRDefault="003E754C" w:rsidP="003E754C">
      <w:pPr>
        <w:ind w:right="191"/>
        <w:jc w:val="both"/>
        <w:rPr>
          <w:iCs w:val="0"/>
        </w:rPr>
      </w:pPr>
      <w:r w:rsidRPr="002C3B57">
        <w:rPr>
          <w:iCs w:val="0"/>
        </w:rPr>
        <w:t>Al 31 de marzo de 2024, se refleja un saldo de 6 mil 784.2 millones de pesos.</w:t>
      </w:r>
    </w:p>
    <w:p w:rsidR="00942257" w:rsidRDefault="00942257" w:rsidP="00942257">
      <w:pPr>
        <w:shd w:val="clear" w:color="auto" w:fill="FFFFFF"/>
        <w:jc w:val="both"/>
      </w:pPr>
    </w:p>
    <w:tbl>
      <w:tblPr>
        <w:tblW w:w="10460" w:type="dxa"/>
        <w:tblInd w:w="55" w:type="dxa"/>
        <w:tblCellMar>
          <w:left w:w="70" w:type="dxa"/>
          <w:right w:w="70" w:type="dxa"/>
        </w:tblCellMar>
        <w:tblLook w:val="04A0" w:firstRow="1" w:lastRow="0" w:firstColumn="1" w:lastColumn="0" w:noHBand="0" w:noVBand="1"/>
      </w:tblPr>
      <w:tblGrid>
        <w:gridCol w:w="2440"/>
        <w:gridCol w:w="2140"/>
        <w:gridCol w:w="1960"/>
        <w:gridCol w:w="1960"/>
        <w:gridCol w:w="1960"/>
      </w:tblGrid>
      <w:tr w:rsidR="00942257" w:rsidTr="00942257">
        <w:trPr>
          <w:trHeight w:val="300"/>
        </w:trPr>
        <w:tc>
          <w:tcPr>
            <w:tcW w:w="10460" w:type="dxa"/>
            <w:gridSpan w:val="5"/>
            <w:shd w:val="clear" w:color="auto" w:fill="E6E6E6"/>
            <w:noWrap/>
            <w:vAlign w:val="center"/>
            <w:hideMark/>
          </w:tcPr>
          <w:p w:rsidR="00942257" w:rsidRDefault="00942257">
            <w:pPr>
              <w:spacing w:line="256" w:lineRule="auto"/>
              <w:jc w:val="center"/>
              <w:rPr>
                <w:b/>
                <w:bCs/>
                <w:color w:val="621132"/>
                <w:lang w:eastAsia="es-MX"/>
              </w:rPr>
            </w:pPr>
            <w:r>
              <w:rPr>
                <w:b/>
                <w:bCs/>
                <w:color w:val="621132"/>
                <w:lang w:eastAsia="es-MX"/>
              </w:rPr>
              <w:t>FIDEICOMISO IRREVOCABLE EMISOR, DE ADMINISTRACIÓN Y PAGO No. 635</w:t>
            </w:r>
          </w:p>
        </w:tc>
      </w:tr>
      <w:tr w:rsidR="00942257" w:rsidTr="00942257">
        <w:trPr>
          <w:trHeight w:val="300"/>
        </w:trPr>
        <w:tc>
          <w:tcPr>
            <w:tcW w:w="10460" w:type="dxa"/>
            <w:gridSpan w:val="5"/>
            <w:shd w:val="clear" w:color="auto" w:fill="E6E6E6"/>
            <w:noWrap/>
            <w:vAlign w:val="center"/>
            <w:hideMark/>
          </w:tcPr>
          <w:p w:rsidR="00942257" w:rsidRDefault="00942257">
            <w:pPr>
              <w:spacing w:line="256" w:lineRule="auto"/>
              <w:jc w:val="center"/>
              <w:rPr>
                <w:color w:val="621132"/>
                <w:lang w:eastAsia="es-MX"/>
              </w:rPr>
            </w:pPr>
            <w:r>
              <w:rPr>
                <w:color w:val="621132"/>
                <w:lang w:eastAsia="es-MX"/>
              </w:rPr>
              <w:t>DEL 1 DE ENERO AL 31 DE MARZO DE 202</w:t>
            </w:r>
            <w:r w:rsidR="003E754C">
              <w:rPr>
                <w:color w:val="621132"/>
                <w:lang w:eastAsia="es-MX"/>
              </w:rPr>
              <w:t>4</w:t>
            </w:r>
          </w:p>
        </w:tc>
      </w:tr>
      <w:tr w:rsidR="00942257" w:rsidTr="00942257">
        <w:trPr>
          <w:trHeight w:val="300"/>
        </w:trPr>
        <w:tc>
          <w:tcPr>
            <w:tcW w:w="10460" w:type="dxa"/>
            <w:gridSpan w:val="5"/>
            <w:shd w:val="clear" w:color="auto" w:fill="E6E6E6"/>
            <w:noWrap/>
            <w:vAlign w:val="center"/>
            <w:hideMark/>
          </w:tcPr>
          <w:p w:rsidR="00942257" w:rsidRDefault="00942257">
            <w:pPr>
              <w:spacing w:line="256" w:lineRule="auto"/>
              <w:jc w:val="center"/>
              <w:rPr>
                <w:color w:val="621132"/>
                <w:lang w:eastAsia="es-MX"/>
              </w:rPr>
            </w:pPr>
            <w:r>
              <w:rPr>
                <w:color w:val="621132"/>
                <w:lang w:eastAsia="es-MX"/>
              </w:rPr>
              <w:t>( Pesos )</w:t>
            </w:r>
          </w:p>
        </w:tc>
      </w:tr>
      <w:tr w:rsidR="00942257" w:rsidTr="00942257">
        <w:trPr>
          <w:trHeight w:val="330"/>
        </w:trPr>
        <w:tc>
          <w:tcPr>
            <w:tcW w:w="2440" w:type="dxa"/>
            <w:vMerge w:val="restart"/>
            <w:tcBorders>
              <w:top w:val="nil"/>
              <w:left w:val="nil"/>
              <w:bottom w:val="single" w:sz="4" w:space="0" w:color="FFFFFF"/>
              <w:right w:val="single" w:sz="4" w:space="0" w:color="FFFFFF"/>
            </w:tcBorders>
            <w:shd w:val="clear" w:color="auto" w:fill="B09A5B"/>
            <w:noWrap/>
            <w:vAlign w:val="center"/>
            <w:hideMark/>
          </w:tcPr>
          <w:p w:rsidR="00942257" w:rsidRDefault="00942257">
            <w:pPr>
              <w:spacing w:line="256" w:lineRule="auto"/>
              <w:jc w:val="center"/>
              <w:rPr>
                <w:b/>
                <w:bCs/>
                <w:color w:val="FFFFFF"/>
                <w:lang w:eastAsia="es-MX"/>
              </w:rPr>
            </w:pPr>
            <w:r>
              <w:rPr>
                <w:b/>
                <w:bCs/>
                <w:color w:val="FFFFFF"/>
                <w:lang w:eastAsia="es-MX"/>
              </w:rPr>
              <w:t>UNIDAD DE MEDIDA</w:t>
            </w:r>
          </w:p>
        </w:tc>
        <w:tc>
          <w:tcPr>
            <w:tcW w:w="2140" w:type="dxa"/>
            <w:tcBorders>
              <w:top w:val="nil"/>
              <w:left w:val="nil"/>
              <w:bottom w:val="nil"/>
              <w:right w:val="single" w:sz="4" w:space="0" w:color="FFFFFF"/>
            </w:tcBorders>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SALDO AL 31 DE</w:t>
            </w:r>
          </w:p>
        </w:tc>
        <w:tc>
          <w:tcPr>
            <w:tcW w:w="3920" w:type="dxa"/>
            <w:gridSpan w:val="2"/>
            <w:tcBorders>
              <w:top w:val="nil"/>
              <w:left w:val="nil"/>
              <w:bottom w:val="single" w:sz="4" w:space="0" w:color="FFFFFF"/>
              <w:right w:val="single" w:sz="4" w:space="0" w:color="FFFFFF"/>
            </w:tcBorders>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MOVIMIENTOS 202</w:t>
            </w:r>
            <w:r w:rsidR="003E754C">
              <w:rPr>
                <w:b/>
                <w:bCs/>
                <w:color w:val="FFFFFF"/>
                <w:lang w:eastAsia="es-MX"/>
              </w:rPr>
              <w:t>4</w:t>
            </w:r>
          </w:p>
        </w:tc>
        <w:tc>
          <w:tcPr>
            <w:tcW w:w="1960" w:type="dxa"/>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SALDO AL 31 DE</w:t>
            </w:r>
          </w:p>
        </w:tc>
      </w:tr>
      <w:tr w:rsidR="00942257" w:rsidTr="00942257">
        <w:trPr>
          <w:trHeight w:val="525"/>
        </w:trPr>
        <w:tc>
          <w:tcPr>
            <w:tcW w:w="0" w:type="auto"/>
            <w:vMerge/>
            <w:tcBorders>
              <w:top w:val="nil"/>
              <w:left w:val="nil"/>
              <w:bottom w:val="single" w:sz="4" w:space="0" w:color="FFFFFF"/>
              <w:right w:val="single" w:sz="4" w:space="0" w:color="FFFFFF"/>
            </w:tcBorders>
            <w:vAlign w:val="center"/>
            <w:hideMark/>
          </w:tcPr>
          <w:p w:rsidR="00942257" w:rsidRDefault="00942257">
            <w:pPr>
              <w:spacing w:line="256" w:lineRule="auto"/>
              <w:rPr>
                <w:b/>
                <w:bCs/>
                <w:color w:val="FFFFFF"/>
                <w:lang w:eastAsia="es-MX"/>
              </w:rPr>
            </w:pPr>
          </w:p>
        </w:tc>
        <w:tc>
          <w:tcPr>
            <w:tcW w:w="2140" w:type="dxa"/>
            <w:tcBorders>
              <w:top w:val="nil"/>
              <w:left w:val="nil"/>
              <w:bottom w:val="nil"/>
              <w:right w:val="single" w:sz="4" w:space="0" w:color="FFFFFF"/>
            </w:tcBorders>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DICIEMBRE 202</w:t>
            </w:r>
            <w:r w:rsidR="003E754C">
              <w:rPr>
                <w:b/>
                <w:bCs/>
                <w:color w:val="FFFFFF"/>
                <w:lang w:eastAsia="es-MX"/>
              </w:rPr>
              <w:t>3</w:t>
            </w:r>
          </w:p>
        </w:tc>
        <w:tc>
          <w:tcPr>
            <w:tcW w:w="1960" w:type="dxa"/>
            <w:tcBorders>
              <w:top w:val="nil"/>
              <w:left w:val="nil"/>
              <w:bottom w:val="nil"/>
              <w:right w:val="single" w:sz="4" w:space="0" w:color="FFFFFF"/>
            </w:tcBorders>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INCREMENTOS</w:t>
            </w:r>
          </w:p>
        </w:tc>
        <w:tc>
          <w:tcPr>
            <w:tcW w:w="1960" w:type="dxa"/>
            <w:tcBorders>
              <w:top w:val="nil"/>
              <w:left w:val="nil"/>
              <w:bottom w:val="nil"/>
              <w:right w:val="single" w:sz="4" w:space="0" w:color="FFFFFF"/>
            </w:tcBorders>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AMORTIZACIÓN</w:t>
            </w:r>
          </w:p>
        </w:tc>
        <w:tc>
          <w:tcPr>
            <w:tcW w:w="1960" w:type="dxa"/>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MARZO 202</w:t>
            </w:r>
            <w:r w:rsidR="003E754C">
              <w:rPr>
                <w:b/>
                <w:bCs/>
                <w:color w:val="FFFFFF"/>
                <w:lang w:eastAsia="es-MX"/>
              </w:rPr>
              <w:t>4</w:t>
            </w:r>
          </w:p>
        </w:tc>
      </w:tr>
      <w:tr w:rsidR="00942257" w:rsidTr="00942257">
        <w:trPr>
          <w:trHeight w:val="210"/>
        </w:trPr>
        <w:tc>
          <w:tcPr>
            <w:tcW w:w="2440" w:type="dxa"/>
            <w:noWrap/>
            <w:vAlign w:val="bottom"/>
            <w:hideMark/>
          </w:tcPr>
          <w:p w:rsidR="00942257" w:rsidRDefault="00942257">
            <w:pPr>
              <w:rPr>
                <w:b/>
                <w:bCs/>
                <w:color w:val="FFFFFF"/>
                <w:lang w:eastAsia="es-MX"/>
              </w:rPr>
            </w:pPr>
          </w:p>
        </w:tc>
        <w:tc>
          <w:tcPr>
            <w:tcW w:w="2140" w:type="dxa"/>
            <w:noWrap/>
            <w:vAlign w:val="bottom"/>
            <w:hideMark/>
          </w:tcPr>
          <w:p w:rsidR="00942257" w:rsidRDefault="00942257">
            <w:pPr>
              <w:spacing w:line="256" w:lineRule="auto"/>
              <w:rPr>
                <w:lang w:eastAsia="es-MX"/>
              </w:rPr>
            </w:pPr>
          </w:p>
        </w:tc>
        <w:tc>
          <w:tcPr>
            <w:tcW w:w="1960" w:type="dxa"/>
            <w:noWrap/>
            <w:vAlign w:val="bottom"/>
            <w:hideMark/>
          </w:tcPr>
          <w:p w:rsidR="00942257" w:rsidRDefault="00942257">
            <w:pPr>
              <w:spacing w:line="256" w:lineRule="auto"/>
              <w:rPr>
                <w:lang w:eastAsia="es-MX"/>
              </w:rPr>
            </w:pPr>
          </w:p>
        </w:tc>
        <w:tc>
          <w:tcPr>
            <w:tcW w:w="1960" w:type="dxa"/>
            <w:noWrap/>
            <w:vAlign w:val="bottom"/>
            <w:hideMark/>
          </w:tcPr>
          <w:p w:rsidR="00942257" w:rsidRDefault="00942257">
            <w:pPr>
              <w:spacing w:line="256" w:lineRule="auto"/>
              <w:rPr>
                <w:lang w:eastAsia="es-MX"/>
              </w:rPr>
            </w:pPr>
          </w:p>
        </w:tc>
        <w:tc>
          <w:tcPr>
            <w:tcW w:w="1960" w:type="dxa"/>
            <w:noWrap/>
            <w:vAlign w:val="bottom"/>
            <w:hideMark/>
          </w:tcPr>
          <w:p w:rsidR="00942257" w:rsidRDefault="00942257">
            <w:pPr>
              <w:spacing w:line="256" w:lineRule="auto"/>
              <w:rPr>
                <w:lang w:eastAsia="es-MX"/>
              </w:rPr>
            </w:pPr>
          </w:p>
        </w:tc>
      </w:tr>
      <w:tr w:rsidR="003E754C" w:rsidTr="00942257">
        <w:trPr>
          <w:trHeight w:val="360"/>
        </w:trPr>
        <w:tc>
          <w:tcPr>
            <w:tcW w:w="2440" w:type="dxa"/>
            <w:noWrap/>
            <w:vAlign w:val="center"/>
            <w:hideMark/>
          </w:tcPr>
          <w:p w:rsidR="003E754C" w:rsidRDefault="003E754C" w:rsidP="003E754C">
            <w:pPr>
              <w:spacing w:line="256" w:lineRule="auto"/>
              <w:jc w:val="center"/>
              <w:rPr>
                <w:b/>
                <w:bCs/>
                <w:lang w:eastAsia="es-MX"/>
              </w:rPr>
            </w:pPr>
            <w:r>
              <w:rPr>
                <w:b/>
                <w:bCs/>
                <w:lang w:eastAsia="es-MX"/>
              </w:rPr>
              <w:t>TOTAL</w:t>
            </w:r>
          </w:p>
        </w:tc>
        <w:tc>
          <w:tcPr>
            <w:tcW w:w="2140" w:type="dxa"/>
            <w:noWrap/>
            <w:vAlign w:val="center"/>
            <w:hideMark/>
          </w:tcPr>
          <w:p w:rsidR="003E754C" w:rsidRPr="00E81AF9" w:rsidRDefault="003E754C" w:rsidP="003E754C">
            <w:pPr>
              <w:jc w:val="right"/>
              <w:rPr>
                <w:b/>
                <w:bCs/>
                <w:lang w:eastAsia="es-MX"/>
              </w:rPr>
            </w:pPr>
            <w:r w:rsidRPr="00E81AF9">
              <w:rPr>
                <w:b/>
                <w:bCs/>
                <w:lang w:eastAsia="es-MX"/>
              </w:rPr>
              <w:t xml:space="preserve">6 680 614 838 </w:t>
            </w:r>
          </w:p>
        </w:tc>
        <w:tc>
          <w:tcPr>
            <w:tcW w:w="1960" w:type="dxa"/>
            <w:noWrap/>
            <w:vAlign w:val="center"/>
            <w:hideMark/>
          </w:tcPr>
          <w:p w:rsidR="003E754C" w:rsidRPr="00E81AF9" w:rsidRDefault="003E754C" w:rsidP="003E754C">
            <w:pPr>
              <w:jc w:val="right"/>
              <w:rPr>
                <w:b/>
                <w:bCs/>
                <w:lang w:eastAsia="es-MX"/>
              </w:rPr>
            </w:pPr>
            <w:r w:rsidRPr="00E81AF9">
              <w:rPr>
                <w:b/>
                <w:bCs/>
                <w:lang w:eastAsia="es-MX"/>
              </w:rPr>
              <w:t xml:space="preserve"> 103 600 595 </w:t>
            </w:r>
          </w:p>
        </w:tc>
        <w:tc>
          <w:tcPr>
            <w:tcW w:w="1960" w:type="dxa"/>
            <w:noWrap/>
            <w:vAlign w:val="center"/>
            <w:hideMark/>
          </w:tcPr>
          <w:p w:rsidR="003E754C" w:rsidRPr="00E81AF9" w:rsidRDefault="003E754C" w:rsidP="003E754C">
            <w:pPr>
              <w:jc w:val="right"/>
              <w:rPr>
                <w:b/>
                <w:bCs/>
                <w:lang w:eastAsia="es-MX"/>
              </w:rPr>
            </w:pPr>
            <w:r w:rsidRPr="00E81AF9">
              <w:rPr>
                <w:b/>
                <w:bCs/>
                <w:lang w:eastAsia="es-MX"/>
              </w:rPr>
              <w:t xml:space="preserve">   0 </w:t>
            </w:r>
          </w:p>
        </w:tc>
        <w:tc>
          <w:tcPr>
            <w:tcW w:w="1960" w:type="dxa"/>
            <w:noWrap/>
            <w:vAlign w:val="center"/>
            <w:hideMark/>
          </w:tcPr>
          <w:p w:rsidR="003E754C" w:rsidRPr="00E81AF9" w:rsidRDefault="003E754C" w:rsidP="003E754C">
            <w:pPr>
              <w:jc w:val="right"/>
              <w:rPr>
                <w:b/>
                <w:bCs/>
                <w:lang w:eastAsia="es-MX"/>
              </w:rPr>
            </w:pPr>
            <w:r w:rsidRPr="00E81AF9">
              <w:rPr>
                <w:b/>
                <w:bCs/>
                <w:lang w:eastAsia="es-MX"/>
              </w:rPr>
              <w:t xml:space="preserve">6 784 215 434 </w:t>
            </w:r>
          </w:p>
        </w:tc>
      </w:tr>
      <w:tr w:rsidR="003E754C" w:rsidTr="00942257">
        <w:trPr>
          <w:trHeight w:val="285"/>
        </w:trPr>
        <w:tc>
          <w:tcPr>
            <w:tcW w:w="2440" w:type="dxa"/>
            <w:hideMark/>
          </w:tcPr>
          <w:p w:rsidR="003E754C" w:rsidRDefault="003E754C" w:rsidP="003E754C">
            <w:pPr>
              <w:spacing w:line="256" w:lineRule="auto"/>
              <w:rPr>
                <w:lang w:eastAsia="es-MX"/>
              </w:rPr>
            </w:pPr>
            <w:r>
              <w:rPr>
                <w:lang w:eastAsia="es-MX"/>
              </w:rPr>
              <w:t xml:space="preserve">       </w:t>
            </w:r>
            <w:proofErr w:type="spellStart"/>
            <w:r>
              <w:rPr>
                <w:lang w:eastAsia="es-MX"/>
              </w:rPr>
              <w:t>UDI´s</w:t>
            </w:r>
            <w:proofErr w:type="spellEnd"/>
            <w:r>
              <w:rPr>
                <w:lang w:eastAsia="es-MX"/>
              </w:rPr>
              <w:t xml:space="preserve"> </w:t>
            </w:r>
            <w:r>
              <w:rPr>
                <w:vertAlign w:val="superscript"/>
                <w:lang w:eastAsia="es-MX"/>
              </w:rPr>
              <w:t>(1</w:t>
            </w:r>
          </w:p>
        </w:tc>
        <w:tc>
          <w:tcPr>
            <w:tcW w:w="2140" w:type="dxa"/>
            <w:hideMark/>
          </w:tcPr>
          <w:p w:rsidR="003E754C" w:rsidRPr="00E81AF9" w:rsidRDefault="003E754C" w:rsidP="003E754C">
            <w:pPr>
              <w:jc w:val="right"/>
              <w:rPr>
                <w:lang w:eastAsia="es-MX"/>
              </w:rPr>
            </w:pPr>
            <w:r>
              <w:rPr>
                <w:lang w:eastAsia="es-MX"/>
              </w:rPr>
              <w:t xml:space="preserve">            </w:t>
            </w:r>
            <w:r w:rsidRPr="00E81AF9">
              <w:rPr>
                <w:lang w:eastAsia="es-MX"/>
              </w:rPr>
              <w:t>6</w:t>
            </w:r>
            <w:r>
              <w:rPr>
                <w:lang w:eastAsia="es-MX"/>
              </w:rPr>
              <w:t xml:space="preserve"> </w:t>
            </w:r>
            <w:r w:rsidRPr="00E81AF9">
              <w:rPr>
                <w:lang w:eastAsia="es-MX"/>
              </w:rPr>
              <w:t>122</w:t>
            </w:r>
            <w:r>
              <w:rPr>
                <w:lang w:eastAsia="es-MX"/>
              </w:rPr>
              <w:t xml:space="preserve"> </w:t>
            </w:r>
            <w:r w:rsidRPr="00E81AF9">
              <w:rPr>
                <w:lang w:eastAsia="es-MX"/>
              </w:rPr>
              <w:t>681</w:t>
            </w:r>
            <w:r>
              <w:rPr>
                <w:lang w:eastAsia="es-MX"/>
              </w:rPr>
              <w:t xml:space="preserve"> </w:t>
            </w:r>
            <w:r w:rsidRPr="00E81AF9">
              <w:rPr>
                <w:lang w:eastAsia="es-MX"/>
              </w:rPr>
              <w:t xml:space="preserve">275 </w:t>
            </w:r>
          </w:p>
        </w:tc>
        <w:tc>
          <w:tcPr>
            <w:tcW w:w="1960" w:type="dxa"/>
            <w:shd w:val="clear" w:color="auto" w:fill="FFFFFF"/>
            <w:noWrap/>
            <w:hideMark/>
          </w:tcPr>
          <w:p w:rsidR="003E754C" w:rsidRPr="00E81AF9" w:rsidRDefault="003E754C" w:rsidP="003E754C">
            <w:pPr>
              <w:jc w:val="right"/>
              <w:rPr>
                <w:lang w:eastAsia="es-MX"/>
              </w:rPr>
            </w:pPr>
            <w:r w:rsidRPr="00E81AF9">
              <w:rPr>
                <w:lang w:eastAsia="es-MX"/>
              </w:rPr>
              <w:t xml:space="preserve"> 103 600 595 </w:t>
            </w:r>
          </w:p>
        </w:tc>
        <w:tc>
          <w:tcPr>
            <w:tcW w:w="1960" w:type="dxa"/>
            <w:shd w:val="clear" w:color="auto" w:fill="FFFFFF"/>
            <w:noWrap/>
            <w:vAlign w:val="center"/>
            <w:hideMark/>
          </w:tcPr>
          <w:p w:rsidR="003E754C" w:rsidRPr="00E81AF9" w:rsidRDefault="003E754C" w:rsidP="003E754C">
            <w:pPr>
              <w:jc w:val="right"/>
              <w:rPr>
                <w:lang w:eastAsia="es-MX"/>
              </w:rPr>
            </w:pPr>
            <w:r w:rsidRPr="00E81AF9">
              <w:rPr>
                <w:lang w:eastAsia="es-MX"/>
              </w:rPr>
              <w:t xml:space="preserve">   0 </w:t>
            </w:r>
          </w:p>
        </w:tc>
        <w:tc>
          <w:tcPr>
            <w:tcW w:w="1960" w:type="dxa"/>
            <w:noWrap/>
            <w:vAlign w:val="center"/>
            <w:hideMark/>
          </w:tcPr>
          <w:p w:rsidR="003E754C" w:rsidRPr="00E81AF9" w:rsidRDefault="003E754C" w:rsidP="003E754C">
            <w:pPr>
              <w:jc w:val="right"/>
              <w:rPr>
                <w:lang w:eastAsia="es-MX"/>
              </w:rPr>
            </w:pPr>
            <w:r w:rsidRPr="00E81AF9">
              <w:rPr>
                <w:lang w:eastAsia="es-MX"/>
              </w:rPr>
              <w:t xml:space="preserve">6 226 281 871 </w:t>
            </w:r>
          </w:p>
        </w:tc>
      </w:tr>
      <w:tr w:rsidR="003E754C" w:rsidTr="00942257">
        <w:trPr>
          <w:trHeight w:val="255"/>
        </w:trPr>
        <w:tc>
          <w:tcPr>
            <w:tcW w:w="2440" w:type="dxa"/>
            <w:tcBorders>
              <w:top w:val="nil"/>
              <w:left w:val="nil"/>
              <w:bottom w:val="single" w:sz="4" w:space="0" w:color="auto"/>
              <w:right w:val="nil"/>
            </w:tcBorders>
            <w:hideMark/>
          </w:tcPr>
          <w:p w:rsidR="003E754C" w:rsidRDefault="003E754C" w:rsidP="003E754C">
            <w:pPr>
              <w:spacing w:line="256" w:lineRule="auto"/>
              <w:rPr>
                <w:lang w:eastAsia="es-MX"/>
              </w:rPr>
            </w:pPr>
            <w:r>
              <w:rPr>
                <w:lang w:eastAsia="es-MX"/>
              </w:rPr>
              <w:t xml:space="preserve">       Pesos</w:t>
            </w:r>
          </w:p>
        </w:tc>
        <w:tc>
          <w:tcPr>
            <w:tcW w:w="2140" w:type="dxa"/>
            <w:tcBorders>
              <w:top w:val="nil"/>
              <w:left w:val="nil"/>
              <w:bottom w:val="single" w:sz="4" w:space="0" w:color="auto"/>
              <w:right w:val="nil"/>
            </w:tcBorders>
            <w:noWrap/>
            <w:hideMark/>
          </w:tcPr>
          <w:p w:rsidR="003E754C" w:rsidRPr="00E81AF9" w:rsidRDefault="003E754C" w:rsidP="003E754C">
            <w:pPr>
              <w:jc w:val="right"/>
              <w:rPr>
                <w:lang w:eastAsia="es-MX"/>
              </w:rPr>
            </w:pPr>
            <w:r w:rsidRPr="00E81AF9">
              <w:rPr>
                <w:lang w:eastAsia="es-MX"/>
              </w:rPr>
              <w:t xml:space="preserve"> 557 933 563 </w:t>
            </w:r>
          </w:p>
        </w:tc>
        <w:tc>
          <w:tcPr>
            <w:tcW w:w="1960" w:type="dxa"/>
            <w:tcBorders>
              <w:top w:val="nil"/>
              <w:left w:val="nil"/>
              <w:bottom w:val="single" w:sz="4" w:space="0" w:color="auto"/>
              <w:right w:val="nil"/>
            </w:tcBorders>
            <w:shd w:val="clear" w:color="auto" w:fill="FFFFFF"/>
            <w:noWrap/>
            <w:hideMark/>
          </w:tcPr>
          <w:p w:rsidR="003E754C" w:rsidRPr="00E81AF9" w:rsidRDefault="003E754C" w:rsidP="003E754C">
            <w:pPr>
              <w:jc w:val="right"/>
              <w:rPr>
                <w:lang w:eastAsia="es-MX"/>
              </w:rPr>
            </w:pPr>
            <w:r w:rsidRPr="00E81AF9">
              <w:rPr>
                <w:lang w:eastAsia="es-MX"/>
              </w:rPr>
              <w:t xml:space="preserve">   0 </w:t>
            </w:r>
          </w:p>
        </w:tc>
        <w:tc>
          <w:tcPr>
            <w:tcW w:w="1960" w:type="dxa"/>
            <w:tcBorders>
              <w:top w:val="nil"/>
              <w:left w:val="nil"/>
              <w:bottom w:val="single" w:sz="4" w:space="0" w:color="auto"/>
              <w:right w:val="nil"/>
            </w:tcBorders>
            <w:shd w:val="clear" w:color="auto" w:fill="FFFFFF"/>
            <w:noWrap/>
            <w:vAlign w:val="center"/>
            <w:hideMark/>
          </w:tcPr>
          <w:p w:rsidR="003E754C" w:rsidRPr="00E81AF9" w:rsidRDefault="003E754C" w:rsidP="003E754C">
            <w:pPr>
              <w:jc w:val="right"/>
              <w:rPr>
                <w:lang w:eastAsia="es-MX"/>
              </w:rPr>
            </w:pPr>
            <w:r w:rsidRPr="00E81AF9">
              <w:rPr>
                <w:lang w:eastAsia="es-MX"/>
              </w:rPr>
              <w:t xml:space="preserve">   0 </w:t>
            </w:r>
          </w:p>
        </w:tc>
        <w:tc>
          <w:tcPr>
            <w:tcW w:w="1960" w:type="dxa"/>
            <w:tcBorders>
              <w:top w:val="nil"/>
              <w:left w:val="nil"/>
              <w:bottom w:val="single" w:sz="4" w:space="0" w:color="auto"/>
              <w:right w:val="nil"/>
            </w:tcBorders>
            <w:noWrap/>
            <w:vAlign w:val="center"/>
            <w:hideMark/>
          </w:tcPr>
          <w:p w:rsidR="003E754C" w:rsidRPr="00E81AF9" w:rsidRDefault="003E754C" w:rsidP="003E754C">
            <w:pPr>
              <w:jc w:val="right"/>
              <w:rPr>
                <w:lang w:eastAsia="es-MX"/>
              </w:rPr>
            </w:pPr>
            <w:r w:rsidRPr="00E81AF9">
              <w:rPr>
                <w:lang w:eastAsia="es-MX"/>
              </w:rPr>
              <w:t xml:space="preserve"> 557 933 563 </w:t>
            </w:r>
          </w:p>
        </w:tc>
      </w:tr>
      <w:tr w:rsidR="00942257" w:rsidTr="00942257">
        <w:trPr>
          <w:trHeight w:val="45"/>
        </w:trPr>
        <w:tc>
          <w:tcPr>
            <w:tcW w:w="2440" w:type="dxa"/>
            <w:hideMark/>
          </w:tcPr>
          <w:p w:rsidR="00942257" w:rsidRDefault="00942257">
            <w:pPr>
              <w:rPr>
                <w:lang w:eastAsia="es-MX"/>
              </w:rPr>
            </w:pPr>
          </w:p>
        </w:tc>
        <w:tc>
          <w:tcPr>
            <w:tcW w:w="2140" w:type="dxa"/>
            <w:hideMark/>
          </w:tcPr>
          <w:p w:rsidR="00942257" w:rsidRDefault="00942257">
            <w:pPr>
              <w:spacing w:line="256" w:lineRule="auto"/>
              <w:rPr>
                <w:lang w:eastAsia="es-MX"/>
              </w:rPr>
            </w:pPr>
          </w:p>
        </w:tc>
        <w:tc>
          <w:tcPr>
            <w:tcW w:w="1960" w:type="dxa"/>
            <w:noWrap/>
            <w:hideMark/>
          </w:tcPr>
          <w:p w:rsidR="00942257" w:rsidRDefault="00942257">
            <w:pPr>
              <w:spacing w:line="256" w:lineRule="auto"/>
              <w:rPr>
                <w:lang w:eastAsia="es-MX"/>
              </w:rPr>
            </w:pPr>
          </w:p>
        </w:tc>
        <w:tc>
          <w:tcPr>
            <w:tcW w:w="1960" w:type="dxa"/>
            <w:hideMark/>
          </w:tcPr>
          <w:p w:rsidR="00942257" w:rsidRDefault="00942257">
            <w:pPr>
              <w:spacing w:line="256" w:lineRule="auto"/>
              <w:rPr>
                <w:lang w:eastAsia="es-MX"/>
              </w:rPr>
            </w:pPr>
          </w:p>
        </w:tc>
        <w:tc>
          <w:tcPr>
            <w:tcW w:w="1960" w:type="dxa"/>
            <w:hideMark/>
          </w:tcPr>
          <w:p w:rsidR="00942257" w:rsidRDefault="00942257">
            <w:pPr>
              <w:spacing w:line="256" w:lineRule="auto"/>
              <w:rPr>
                <w:lang w:eastAsia="es-MX"/>
              </w:rPr>
            </w:pPr>
          </w:p>
        </w:tc>
      </w:tr>
      <w:tr w:rsidR="00942257" w:rsidTr="00942257">
        <w:trPr>
          <w:trHeight w:val="255"/>
        </w:trPr>
        <w:tc>
          <w:tcPr>
            <w:tcW w:w="4580" w:type="dxa"/>
            <w:gridSpan w:val="2"/>
            <w:noWrap/>
            <w:hideMark/>
          </w:tcPr>
          <w:p w:rsidR="00942257" w:rsidRDefault="00942257">
            <w:pPr>
              <w:spacing w:line="256" w:lineRule="auto"/>
              <w:rPr>
                <w:lang w:eastAsia="es-MX"/>
              </w:rPr>
            </w:pPr>
            <w:r>
              <w:rPr>
                <w:b/>
                <w:bCs/>
                <w:lang w:eastAsia="es-MX"/>
              </w:rPr>
              <w:t xml:space="preserve">Fuente: </w:t>
            </w:r>
            <w:r>
              <w:rPr>
                <w:lang w:eastAsia="es-MX"/>
              </w:rPr>
              <w:t>Secretaría de Hacienda.</w:t>
            </w:r>
          </w:p>
        </w:tc>
        <w:tc>
          <w:tcPr>
            <w:tcW w:w="1960" w:type="dxa"/>
            <w:noWrap/>
            <w:vAlign w:val="bottom"/>
            <w:hideMark/>
          </w:tcPr>
          <w:p w:rsidR="00942257" w:rsidRDefault="00942257">
            <w:pPr>
              <w:rPr>
                <w:lang w:eastAsia="es-MX"/>
              </w:rPr>
            </w:pPr>
          </w:p>
        </w:tc>
        <w:tc>
          <w:tcPr>
            <w:tcW w:w="1960" w:type="dxa"/>
            <w:noWrap/>
            <w:vAlign w:val="bottom"/>
            <w:hideMark/>
          </w:tcPr>
          <w:p w:rsidR="00942257" w:rsidRDefault="00942257">
            <w:pPr>
              <w:spacing w:line="256" w:lineRule="auto"/>
              <w:rPr>
                <w:lang w:eastAsia="es-MX"/>
              </w:rPr>
            </w:pPr>
          </w:p>
        </w:tc>
        <w:tc>
          <w:tcPr>
            <w:tcW w:w="1960" w:type="dxa"/>
            <w:noWrap/>
            <w:vAlign w:val="bottom"/>
            <w:hideMark/>
          </w:tcPr>
          <w:p w:rsidR="00942257" w:rsidRDefault="00942257">
            <w:pPr>
              <w:spacing w:line="256" w:lineRule="auto"/>
              <w:rPr>
                <w:lang w:eastAsia="es-MX"/>
              </w:rPr>
            </w:pPr>
          </w:p>
        </w:tc>
      </w:tr>
      <w:tr w:rsidR="00942257" w:rsidTr="00942257">
        <w:trPr>
          <w:trHeight w:val="345"/>
        </w:trPr>
        <w:tc>
          <w:tcPr>
            <w:tcW w:w="10460" w:type="dxa"/>
            <w:gridSpan w:val="5"/>
            <w:shd w:val="clear" w:color="auto" w:fill="auto"/>
            <w:vAlign w:val="center"/>
            <w:hideMark/>
          </w:tcPr>
          <w:p w:rsidR="00942257" w:rsidRPr="00942257" w:rsidRDefault="00942257">
            <w:pPr>
              <w:spacing w:line="256" w:lineRule="auto"/>
              <w:rPr>
                <w:lang w:eastAsia="es-MX"/>
              </w:rPr>
            </w:pPr>
            <w:r w:rsidRPr="00942257">
              <w:rPr>
                <w:lang w:eastAsia="es-MX"/>
              </w:rPr>
              <w:t xml:space="preserve">1) La columna de incrementos refleja la actualización en pesos, de las </w:t>
            </w:r>
            <w:proofErr w:type="spellStart"/>
            <w:r w:rsidRPr="00942257">
              <w:rPr>
                <w:lang w:eastAsia="es-MX"/>
              </w:rPr>
              <w:t>UDI´s</w:t>
            </w:r>
            <w:proofErr w:type="spellEnd"/>
            <w:r w:rsidRPr="00942257">
              <w:rPr>
                <w:lang w:eastAsia="es-MX"/>
              </w:rPr>
              <w:t xml:space="preserve"> durante el Primer Trimestre de 202</w:t>
            </w:r>
            <w:r w:rsidR="003E754C">
              <w:rPr>
                <w:lang w:eastAsia="es-MX"/>
              </w:rPr>
              <w:t>4</w:t>
            </w:r>
            <w:r w:rsidRPr="00942257">
              <w:rPr>
                <w:lang w:eastAsia="es-MX"/>
              </w:rPr>
              <w:t>.</w:t>
            </w:r>
          </w:p>
        </w:tc>
      </w:tr>
    </w:tbl>
    <w:p w:rsidR="00942257" w:rsidRDefault="00942257" w:rsidP="00942257">
      <w:pPr>
        <w:shd w:val="clear" w:color="auto" w:fill="FFFFFF"/>
        <w:jc w:val="both"/>
        <w:rPr>
          <w:rFonts w:eastAsiaTheme="minorHAnsi"/>
          <w:sz w:val="22"/>
          <w:szCs w:val="22"/>
          <w:lang w:eastAsia="en-US"/>
        </w:rPr>
      </w:pPr>
    </w:p>
    <w:p w:rsidR="00C7447C" w:rsidRPr="00C7447C" w:rsidRDefault="00C7447C" w:rsidP="00A902CC"/>
    <w:sectPr w:rsidR="00C7447C" w:rsidRPr="00C7447C" w:rsidSect="00DB6FF9">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986" w:rsidRDefault="00615986">
      <w:r>
        <w:separator/>
      </w:r>
    </w:p>
  </w:endnote>
  <w:endnote w:type="continuationSeparator" w:id="0">
    <w:p w:rsidR="00615986" w:rsidRDefault="0061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Cambria"/>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A902CC">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986" w:rsidRDefault="00615986">
      <w:r>
        <w:separator/>
      </w:r>
    </w:p>
  </w:footnote>
  <w:footnote w:type="continuationSeparator" w:id="0">
    <w:p w:rsidR="00615986" w:rsidRDefault="0061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7E1AF0">
                            <w:rPr>
                              <w:rFonts w:ascii="HelveticaNeueLT Std Lt" w:eastAsia="Kozuka Gothic Pro B" w:hAnsi="HelveticaNeueLT Std Lt"/>
                              <w:lang w:val="es-MX"/>
                            </w:rPr>
                            <w:t>2</w:t>
                          </w:r>
                          <w:r w:rsidR="00FF6AEF">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7E1AF0">
                      <w:rPr>
                        <w:rFonts w:ascii="HelveticaNeueLT Std Lt" w:eastAsia="Kozuka Gothic Pro B" w:hAnsi="HelveticaNeueLT Std Lt"/>
                        <w:lang w:val="es-MX"/>
                      </w:rPr>
                      <w:t>2</w:t>
                    </w:r>
                    <w:r w:rsidR="00FF6AEF">
                      <w:rPr>
                        <w:rFonts w:ascii="HelveticaNeueLT Std Lt" w:eastAsia="Kozuka Gothic Pro B" w:hAnsi="HelveticaNeueLT Std Lt"/>
                        <w:lang w:val="es-MX"/>
                      </w:rPr>
                      <w:t>4</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63"/>
      </v:shape>
    </w:pict>
  </w:numPicBullet>
  <w:numPicBullet w:numPicBulletId="1">
    <w:pict>
      <v:shape id="_x0000_i1078" type="#_x0000_t75" style="width:30.75pt;height:30.75pt" o:bullet="t">
        <v:imagedata r:id="rId2" o:title="Viñeta"/>
      </v:shape>
    </w:pict>
  </w:numPicBullet>
  <w:numPicBullet w:numPicBulletId="2">
    <w:pict>
      <v:shape id="_x0000_i1079"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4F1"/>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2D0D"/>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E7A3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E754C"/>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39F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986"/>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1AF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3AC9"/>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225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21C"/>
    <w:rsid w:val="00A7135D"/>
    <w:rsid w:val="00A75957"/>
    <w:rsid w:val="00A75BDC"/>
    <w:rsid w:val="00A80C79"/>
    <w:rsid w:val="00A84E7B"/>
    <w:rsid w:val="00A858F5"/>
    <w:rsid w:val="00A902CC"/>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9E"/>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C88"/>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BC2"/>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E519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 w:val="00FF6A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7FCD1E31"/>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012339577">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FD449-6699-4D33-80F1-F1F66A78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2024-05-27T19:37:00Z</cp:lastPrinted>
  <dcterms:created xsi:type="dcterms:W3CDTF">2024-05-27T19:37:00Z</dcterms:created>
  <dcterms:modified xsi:type="dcterms:W3CDTF">2024-05-27T19:37:00Z</dcterms:modified>
</cp:coreProperties>
</file>