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100AAD" w:rsidRDefault="00100AAD" w:rsidP="00831BB1">
      <w:pPr>
        <w:jc w:val="both"/>
      </w:pPr>
    </w:p>
    <w:p w:rsidR="006623E4" w:rsidRPr="0016098B" w:rsidRDefault="006623E4" w:rsidP="006623E4">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6623E4" w:rsidRPr="0016098B" w:rsidRDefault="006623E4" w:rsidP="006623E4">
      <w:pPr>
        <w:autoSpaceDE w:val="0"/>
        <w:autoSpaceDN w:val="0"/>
        <w:adjustRightInd w:val="0"/>
        <w:jc w:val="both"/>
        <w:rPr>
          <w:rFonts w:eastAsia="Calibri"/>
          <w:snapToGrid w:val="0"/>
          <w:color w:val="000000"/>
          <w:lang w:val="es-ES_tradnl"/>
        </w:rPr>
      </w:pPr>
    </w:p>
    <w:p w:rsidR="006623E4" w:rsidRPr="0016098B" w:rsidRDefault="006623E4" w:rsidP="006623E4">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Durante el presente ejercicio, al mes de diciembre de 2023, se ha liquidado un importe de 363.6 millones de pesos correspondientes a los intereses generados.</w:t>
      </w:r>
    </w:p>
    <w:p w:rsidR="006623E4" w:rsidRPr="0016098B" w:rsidRDefault="006623E4" w:rsidP="006623E4">
      <w:pPr>
        <w:autoSpaceDE w:val="0"/>
        <w:autoSpaceDN w:val="0"/>
        <w:adjustRightInd w:val="0"/>
        <w:jc w:val="both"/>
        <w:rPr>
          <w:rFonts w:eastAsia="Calibri"/>
          <w:snapToGrid w:val="0"/>
          <w:color w:val="000000"/>
          <w:lang w:val="es-ES_tradnl"/>
        </w:rPr>
      </w:pPr>
    </w:p>
    <w:p w:rsidR="006623E4" w:rsidRPr="0016098B" w:rsidRDefault="006623E4" w:rsidP="006623E4">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 xml:space="preserve">Al 31 de diciembre de 2023, se refleja un saldo de 6 mil 680.6 millones de pesos.  </w:t>
      </w:r>
    </w:p>
    <w:p w:rsidR="006623E4" w:rsidRPr="0016098B" w:rsidRDefault="006623E4" w:rsidP="006623E4">
      <w:pPr>
        <w:autoSpaceDE w:val="0"/>
        <w:autoSpaceDN w:val="0"/>
        <w:adjustRightInd w:val="0"/>
        <w:jc w:val="both"/>
        <w:rPr>
          <w:rFonts w:eastAsia="Calibri"/>
          <w:snapToGrid w:val="0"/>
          <w:color w:val="000000"/>
          <w:lang w:val="es-ES_tradnl"/>
        </w:rPr>
      </w:pPr>
    </w:p>
    <w:p w:rsidR="006623E4" w:rsidRPr="00E27EEB" w:rsidRDefault="006623E4" w:rsidP="006623E4">
      <w:pPr>
        <w:tabs>
          <w:tab w:val="left" w:pos="4395"/>
        </w:tabs>
        <w:rPr>
          <w:b/>
          <w:bCs/>
          <w:lang w:val="es-ES_tradnl" w:eastAsia="es-MX"/>
        </w:rPr>
      </w:pPr>
      <w:r w:rsidRPr="00AE223E">
        <w:rPr>
          <w:noProof/>
        </w:rPr>
        <w:drawing>
          <wp:inline distT="0" distB="0" distL="0" distR="0" wp14:anchorId="57F174CE" wp14:editId="651AFA1F">
            <wp:extent cx="6660000" cy="189360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3601"/>
                    </a:xfrm>
                    <a:prstGeom prst="rect">
                      <a:avLst/>
                    </a:prstGeom>
                    <a:noFill/>
                    <a:ln>
                      <a:noFill/>
                    </a:ln>
                  </pic:spPr>
                </pic:pic>
              </a:graphicData>
            </a:graphic>
          </wp:inline>
        </w:drawing>
      </w:r>
    </w:p>
    <w:p w:rsidR="006623E4" w:rsidRPr="00A32244" w:rsidRDefault="006623E4" w:rsidP="006623E4">
      <w:pPr>
        <w:jc w:val="both"/>
        <w:rPr>
          <w:rFonts w:eastAsia="Arial"/>
        </w:rPr>
      </w:pPr>
    </w:p>
    <w:p w:rsidR="006623E4" w:rsidRDefault="006623E4" w:rsidP="006623E4">
      <w:pPr>
        <w:jc w:val="both"/>
        <w:rPr>
          <w:rFonts w:eastAsia="Arial"/>
        </w:rPr>
      </w:pPr>
    </w:p>
    <w:p w:rsidR="000312FB" w:rsidRDefault="000312FB" w:rsidP="000312FB">
      <w:pPr>
        <w:jc w:val="both"/>
        <w:rPr>
          <w:rFonts w:eastAsia="Arial"/>
        </w:rPr>
      </w:pPr>
      <w:bookmarkStart w:id="0" w:name="_GoBack"/>
      <w:bookmarkEnd w:id="0"/>
    </w:p>
    <w:p w:rsidR="00DF130B" w:rsidRDefault="00DF130B" w:rsidP="00DF130B">
      <w:pPr>
        <w:jc w:val="both"/>
        <w:rPr>
          <w:rFonts w:eastAsia="Arial"/>
        </w:rPr>
      </w:pPr>
    </w:p>
    <w:p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D5" w:rsidRDefault="009C5CD5">
      <w:r>
        <w:separator/>
      </w:r>
    </w:p>
  </w:endnote>
  <w:endnote w:type="continuationSeparator" w:id="0">
    <w:p w:rsidR="009C5CD5" w:rsidRDefault="009C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F130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D5" w:rsidRDefault="009C5CD5">
      <w:r>
        <w:separator/>
      </w:r>
    </w:p>
  </w:footnote>
  <w:footnote w:type="continuationSeparator" w:id="0">
    <w:p w:rsidR="009C5CD5" w:rsidRDefault="009C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A00615">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A00615">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63"/>
      </v:shape>
    </w:pict>
  </w:numPicBullet>
  <w:numPicBullet w:numPicBulletId="1">
    <w:pict>
      <v:shape id="_x0000_i1096" type="#_x0000_t75" style="width:30.75pt;height:30.75pt" o:bullet="t">
        <v:imagedata r:id="rId2" o:title="Viñeta"/>
      </v:shape>
    </w:pict>
  </w:numPicBullet>
  <w:numPicBullet w:numPicBulletId="2">
    <w:pict>
      <v:shape id="_x0000_i109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2FB"/>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0AAD"/>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36B"/>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23E4"/>
    <w:rsid w:val="0066397C"/>
    <w:rsid w:val="00664C6D"/>
    <w:rsid w:val="006654EE"/>
    <w:rsid w:val="00665B4D"/>
    <w:rsid w:val="0066702C"/>
    <w:rsid w:val="006707D9"/>
    <w:rsid w:val="00671DEE"/>
    <w:rsid w:val="006720DB"/>
    <w:rsid w:val="00672BE3"/>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AA5"/>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632"/>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5CD5"/>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615"/>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1DF8"/>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0F1"/>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C7BFF"/>
    <w:rsid w:val="00DD12B0"/>
    <w:rsid w:val="00DD525E"/>
    <w:rsid w:val="00DD7806"/>
    <w:rsid w:val="00DD79F7"/>
    <w:rsid w:val="00DE298B"/>
    <w:rsid w:val="00DE2FB6"/>
    <w:rsid w:val="00DE5763"/>
    <w:rsid w:val="00DE6E58"/>
    <w:rsid w:val="00DE75A1"/>
    <w:rsid w:val="00DE79A5"/>
    <w:rsid w:val="00DF130B"/>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 w:id="21431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B04B-C6E5-4558-A5B4-5854F6C9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2023-03-15T22:33:00Z</cp:lastPrinted>
  <dcterms:created xsi:type="dcterms:W3CDTF">2024-03-15T17:53:00Z</dcterms:created>
  <dcterms:modified xsi:type="dcterms:W3CDTF">2024-03-15T17:53:00Z</dcterms:modified>
</cp:coreProperties>
</file>