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E281" w14:textId="77777777" w:rsidR="003F641A" w:rsidRPr="003F641A" w:rsidRDefault="003F641A" w:rsidP="003F641A">
      <w:pPr>
        <w:autoSpaceDE w:val="0"/>
        <w:autoSpaceDN w:val="0"/>
        <w:adjustRightInd w:val="0"/>
        <w:jc w:val="center"/>
        <w:rPr>
          <w:rFonts w:eastAsia="Calibri"/>
          <w:b/>
          <w:iCs w:val="0"/>
          <w:color w:val="9E213D"/>
          <w:sz w:val="28"/>
          <w:szCs w:val="28"/>
          <w:lang w:val="es-MX" w:eastAsia="en-US"/>
        </w:rPr>
      </w:pPr>
      <w:bookmarkStart w:id="0" w:name="_GoBack"/>
      <w:bookmarkEnd w:id="0"/>
      <w:r w:rsidRPr="003F641A">
        <w:rPr>
          <w:rFonts w:eastAsia="Calibri"/>
          <w:b/>
          <w:iCs w:val="0"/>
          <w:color w:val="9E213D"/>
          <w:sz w:val="28"/>
          <w:szCs w:val="28"/>
          <w:lang w:val="es-MX" w:eastAsia="en-US"/>
        </w:rPr>
        <w:t>Notas a los estados financieros consolidados</w:t>
      </w:r>
    </w:p>
    <w:p w14:paraId="234936B9" w14:textId="77777777" w:rsidR="003F641A" w:rsidRPr="003F641A" w:rsidRDefault="003F641A" w:rsidP="003F641A">
      <w:pPr>
        <w:jc w:val="center"/>
        <w:rPr>
          <w:rFonts w:eastAsia="Calibri"/>
          <w:iCs w:val="0"/>
          <w:color w:val="9E213D"/>
          <w:sz w:val="24"/>
          <w:szCs w:val="24"/>
          <w:lang w:val="es-MX"/>
        </w:rPr>
      </w:pPr>
      <w:r w:rsidRPr="003F641A">
        <w:rPr>
          <w:rFonts w:eastAsia="Calibri"/>
          <w:iCs w:val="0"/>
          <w:color w:val="9E213D"/>
          <w:sz w:val="24"/>
          <w:szCs w:val="24"/>
          <w:lang w:val="es-MX"/>
        </w:rPr>
        <w:t>DEL 1 DE ENERO AL 31 DE DICIEMBRE DE 2023</w:t>
      </w:r>
    </w:p>
    <w:p w14:paraId="4AC5121A" w14:textId="77777777" w:rsidR="003F641A" w:rsidRPr="003F641A" w:rsidRDefault="003F641A" w:rsidP="003F641A">
      <w:pPr>
        <w:jc w:val="center"/>
        <w:rPr>
          <w:rFonts w:eastAsia="Calibri"/>
          <w:iCs w:val="0"/>
          <w:color w:val="9E213D"/>
          <w:sz w:val="24"/>
          <w:szCs w:val="24"/>
          <w:lang w:val="es-MX"/>
        </w:rPr>
      </w:pPr>
      <w:r w:rsidRPr="003F641A">
        <w:rPr>
          <w:rFonts w:eastAsia="Calibri"/>
          <w:iCs w:val="0"/>
          <w:color w:val="9E213D"/>
          <w:sz w:val="24"/>
          <w:szCs w:val="24"/>
          <w:lang w:val="es-MX"/>
        </w:rPr>
        <w:t>(Cifras en pesos)</w:t>
      </w:r>
    </w:p>
    <w:p w14:paraId="05544072" w14:textId="77777777" w:rsidR="003F641A" w:rsidRPr="003F641A" w:rsidRDefault="003F641A" w:rsidP="003F641A">
      <w:pPr>
        <w:jc w:val="both"/>
        <w:outlineLvl w:val="0"/>
        <w:rPr>
          <w:rFonts w:eastAsia="Calibri"/>
          <w:iCs w:val="0"/>
          <w:lang w:val="es-MX" w:eastAsia="en-US"/>
        </w:rPr>
      </w:pPr>
      <w:bookmarkStart w:id="1" w:name="_Hlk117854077"/>
    </w:p>
    <w:bookmarkEnd w:id="1"/>
    <w:p w14:paraId="0C391675" w14:textId="77777777" w:rsidR="003F641A" w:rsidRPr="003F641A" w:rsidRDefault="003F641A" w:rsidP="003F641A">
      <w:pPr>
        <w:jc w:val="both"/>
        <w:rPr>
          <w:rFonts w:eastAsia="Calibri" w:cs="Times New Roman"/>
          <w:b/>
          <w:bCs/>
          <w:sz w:val="24"/>
        </w:rPr>
      </w:pPr>
      <w:r w:rsidRPr="003F641A">
        <w:rPr>
          <w:rFonts w:eastAsia="Calibri" w:cs="Times New Roman"/>
          <w:b/>
          <w:bCs/>
          <w:sz w:val="24"/>
        </w:rPr>
        <w:t>Introducción</w:t>
      </w:r>
    </w:p>
    <w:p w14:paraId="051F2D19" w14:textId="77777777" w:rsidR="003F641A" w:rsidRPr="003F641A" w:rsidRDefault="003F641A" w:rsidP="003F641A">
      <w:pPr>
        <w:jc w:val="both"/>
        <w:rPr>
          <w:rFonts w:eastAsia="Calibri" w:cs="Times New Roman"/>
          <w:bCs/>
        </w:rPr>
      </w:pPr>
    </w:p>
    <w:p w14:paraId="1811BA1A" w14:textId="77777777" w:rsidR="003F641A" w:rsidRPr="003F641A" w:rsidRDefault="003F641A" w:rsidP="003F641A">
      <w:pPr>
        <w:jc w:val="both"/>
        <w:rPr>
          <w:rFonts w:eastAsia="Calibri" w:cs="Times New Roman"/>
          <w:bCs/>
        </w:rPr>
      </w:pPr>
      <w:r w:rsidRPr="003F641A">
        <w:rPr>
          <w:rFonts w:eastAsia="Calibri" w:cs="Times New Roman"/>
          <w:bC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31 de diciembre de 2023, con los siguientes apartados:</w:t>
      </w:r>
    </w:p>
    <w:p w14:paraId="7B1D3CC0" w14:textId="77777777" w:rsidR="003F641A" w:rsidRPr="003F641A" w:rsidRDefault="003F641A" w:rsidP="003F641A">
      <w:pPr>
        <w:jc w:val="both"/>
        <w:rPr>
          <w:rFonts w:eastAsia="Calibri" w:cs="Times New Roman"/>
          <w:bCs/>
        </w:rPr>
      </w:pPr>
    </w:p>
    <w:p w14:paraId="2BB092A1" w14:textId="77777777" w:rsidR="003F641A" w:rsidRPr="003F641A" w:rsidRDefault="003F641A" w:rsidP="003F641A">
      <w:pPr>
        <w:numPr>
          <w:ilvl w:val="0"/>
          <w:numId w:val="8"/>
        </w:numPr>
        <w:spacing w:after="120"/>
        <w:ind w:left="357" w:hanging="357"/>
        <w:jc w:val="both"/>
        <w:rPr>
          <w:bCs/>
          <w:caps/>
          <w:lang w:eastAsia="es-MX"/>
        </w:rPr>
      </w:pPr>
      <w:r w:rsidRPr="003F641A">
        <w:rPr>
          <w:bCs/>
          <w:lang w:eastAsia="es-MX"/>
        </w:rPr>
        <w:t>Notas de gestión administrativa</w:t>
      </w:r>
    </w:p>
    <w:p w14:paraId="2FF5EE26" w14:textId="77777777" w:rsidR="003F641A" w:rsidRPr="003F641A" w:rsidRDefault="003F641A" w:rsidP="003F641A">
      <w:pPr>
        <w:numPr>
          <w:ilvl w:val="0"/>
          <w:numId w:val="8"/>
        </w:numPr>
        <w:spacing w:after="120"/>
        <w:ind w:left="357" w:hanging="357"/>
        <w:jc w:val="both"/>
        <w:rPr>
          <w:bCs/>
          <w:caps/>
          <w:lang w:eastAsia="es-MX"/>
        </w:rPr>
      </w:pPr>
      <w:r w:rsidRPr="003F641A">
        <w:rPr>
          <w:bCs/>
          <w:lang w:eastAsia="es-MX"/>
        </w:rPr>
        <w:t>Notas de desglose, y</w:t>
      </w:r>
    </w:p>
    <w:p w14:paraId="08BE0279" w14:textId="77777777" w:rsidR="003F641A" w:rsidRPr="003F641A" w:rsidRDefault="003F641A" w:rsidP="003F641A">
      <w:pPr>
        <w:numPr>
          <w:ilvl w:val="0"/>
          <w:numId w:val="8"/>
        </w:numPr>
        <w:spacing w:after="120"/>
        <w:ind w:left="357" w:hanging="357"/>
        <w:jc w:val="both"/>
        <w:rPr>
          <w:bCs/>
          <w:lang w:eastAsia="es-MX"/>
        </w:rPr>
      </w:pPr>
      <w:r w:rsidRPr="003F641A">
        <w:rPr>
          <w:bCs/>
          <w:lang w:eastAsia="es-MX"/>
        </w:rPr>
        <w:t>Notas de memoria (cuentas de orden)</w:t>
      </w:r>
    </w:p>
    <w:p w14:paraId="7C718730" w14:textId="77777777" w:rsidR="003F641A" w:rsidRPr="003F641A" w:rsidRDefault="003F641A" w:rsidP="003F641A">
      <w:pPr>
        <w:jc w:val="both"/>
        <w:rPr>
          <w:rFonts w:eastAsia="Calibri" w:cs="Times New Roman"/>
          <w:bCs/>
          <w:caps/>
        </w:rPr>
      </w:pPr>
    </w:p>
    <w:p w14:paraId="2A5C3539" w14:textId="77777777" w:rsidR="003F641A" w:rsidRPr="003F641A" w:rsidRDefault="003F641A" w:rsidP="003F641A">
      <w:pPr>
        <w:jc w:val="both"/>
        <w:rPr>
          <w:rFonts w:eastAsia="Calibri" w:cs="Times New Roman"/>
          <w:b/>
          <w:bCs/>
          <w:caps/>
        </w:rPr>
      </w:pPr>
      <w:r w:rsidRPr="003F641A">
        <w:rPr>
          <w:rFonts w:eastAsia="Calibri" w:cs="Times New Roman"/>
          <w:bCs/>
        </w:rPr>
        <w:t>Las cifras mostradas al 31 de diciembre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2E729E0E" w14:textId="77777777" w:rsidR="003F641A" w:rsidRPr="003F641A" w:rsidRDefault="003F641A" w:rsidP="003F641A">
      <w:pPr>
        <w:ind w:right="567"/>
        <w:jc w:val="both"/>
        <w:rPr>
          <w:rFonts w:eastAsia="Calibri" w:cs="Times New Roman"/>
          <w:b/>
          <w:bCs/>
          <w:caps/>
        </w:rPr>
      </w:pPr>
    </w:p>
    <w:p w14:paraId="7E264A76" w14:textId="77777777" w:rsidR="003F641A" w:rsidRPr="003F641A" w:rsidRDefault="003F641A" w:rsidP="003F641A">
      <w:pPr>
        <w:ind w:right="567"/>
        <w:jc w:val="both"/>
        <w:rPr>
          <w:rFonts w:eastAsia="Calibri" w:cs="Times New Roman"/>
          <w:b/>
          <w:bCs/>
          <w:caps/>
        </w:rPr>
      </w:pPr>
    </w:p>
    <w:p w14:paraId="1E0386BB" w14:textId="77777777" w:rsidR="003F641A" w:rsidRPr="003F641A" w:rsidRDefault="003F641A" w:rsidP="003F641A">
      <w:pPr>
        <w:jc w:val="both"/>
        <w:rPr>
          <w:rFonts w:eastAsia="Calibri" w:cs="Times New Roman"/>
          <w:b/>
          <w:bCs/>
          <w:sz w:val="24"/>
        </w:rPr>
      </w:pPr>
      <w:bookmarkStart w:id="2" w:name="_Hlk125467046"/>
      <w:r w:rsidRPr="003F641A">
        <w:rPr>
          <w:rFonts w:eastAsia="Calibri" w:cs="Times New Roman"/>
          <w:b/>
          <w:bCs/>
          <w:sz w:val="24"/>
        </w:rPr>
        <w:t>Notas de gestión administrativa</w:t>
      </w:r>
    </w:p>
    <w:p w14:paraId="08548323" w14:textId="77777777" w:rsidR="003F641A" w:rsidRPr="003F641A" w:rsidRDefault="003F641A" w:rsidP="003F641A">
      <w:pPr>
        <w:autoSpaceDE w:val="0"/>
        <w:autoSpaceDN w:val="0"/>
        <w:adjustRightInd w:val="0"/>
        <w:jc w:val="both"/>
        <w:rPr>
          <w:rFonts w:eastAsia="Calibri" w:cs="Times New Roman"/>
        </w:rPr>
      </w:pPr>
    </w:p>
    <w:p w14:paraId="2D3788F8" w14:textId="77777777" w:rsidR="003F641A" w:rsidRPr="003F641A" w:rsidRDefault="003F641A" w:rsidP="003F641A">
      <w:pPr>
        <w:autoSpaceDE w:val="0"/>
        <w:autoSpaceDN w:val="0"/>
        <w:adjustRightInd w:val="0"/>
        <w:jc w:val="both"/>
        <w:outlineLvl w:val="0"/>
        <w:rPr>
          <w:rFonts w:eastAsia="Calibri" w:cs="Times New Roman"/>
        </w:rPr>
      </w:pPr>
      <w:r w:rsidRPr="003F641A">
        <w:rPr>
          <w:rFonts w:eastAsia="Calibri" w:cs="Times New Roman"/>
        </w:rPr>
        <w:t>Las notas de gestión administrativa de las Entidades Paraestatales y Fideicomisos No Empresariales y No Financieros, son producto de las notas de cada entidad que lo conforman, mismas que pueden ser consultadas en cada ente público.</w:t>
      </w:r>
    </w:p>
    <w:p w14:paraId="468E4EDC" w14:textId="77777777" w:rsidR="003F641A" w:rsidRPr="003F641A" w:rsidRDefault="003F641A" w:rsidP="003F641A">
      <w:pPr>
        <w:autoSpaceDE w:val="0"/>
        <w:autoSpaceDN w:val="0"/>
        <w:adjustRightInd w:val="0"/>
        <w:jc w:val="both"/>
        <w:outlineLvl w:val="0"/>
        <w:rPr>
          <w:rFonts w:eastAsia="Calibri" w:cs="Times New Roman"/>
        </w:rPr>
      </w:pPr>
    </w:p>
    <w:p w14:paraId="5C7433AC" w14:textId="77777777" w:rsidR="003F641A" w:rsidRPr="003F641A" w:rsidRDefault="003F641A" w:rsidP="003F641A"/>
    <w:p w14:paraId="70EF40F2" w14:textId="77777777" w:rsidR="003F641A" w:rsidRPr="003F641A" w:rsidRDefault="003F641A" w:rsidP="003F641A">
      <w:pPr>
        <w:jc w:val="both"/>
        <w:rPr>
          <w:rFonts w:eastAsia="Calibri" w:cs="Times New Roman"/>
          <w:b/>
          <w:bCs/>
          <w:sz w:val="24"/>
        </w:rPr>
      </w:pPr>
      <w:r w:rsidRPr="003F641A">
        <w:rPr>
          <w:rFonts w:eastAsia="Calibri" w:cs="Times New Roman"/>
          <w:b/>
          <w:bCs/>
          <w:sz w:val="24"/>
        </w:rPr>
        <w:t>Notas de desglose</w:t>
      </w:r>
    </w:p>
    <w:p w14:paraId="259B8099" w14:textId="77777777" w:rsidR="003F641A" w:rsidRPr="003F641A" w:rsidRDefault="003F641A" w:rsidP="003F641A">
      <w:pPr>
        <w:spacing w:line="276" w:lineRule="auto"/>
        <w:outlineLvl w:val="0"/>
        <w:rPr>
          <w:b/>
          <w:bCs/>
        </w:rPr>
      </w:pPr>
    </w:p>
    <w:p w14:paraId="59A12AA6" w14:textId="77777777" w:rsidR="003F641A" w:rsidRPr="003F641A" w:rsidRDefault="003F641A" w:rsidP="003F641A">
      <w:pPr>
        <w:jc w:val="both"/>
        <w:rPr>
          <w:rFonts w:eastAsia="Calibri"/>
          <w:b/>
          <w:bCs/>
          <w:iCs w:val="0"/>
          <w:caps/>
        </w:rPr>
      </w:pPr>
      <w:r w:rsidRPr="003F641A">
        <w:rPr>
          <w:rFonts w:eastAsia="Calibri"/>
          <w:b/>
          <w:bCs/>
          <w:iCs w:val="0"/>
        </w:rPr>
        <w:t>Notas al estado de actividades</w:t>
      </w:r>
    </w:p>
    <w:p w14:paraId="16EDFD92" w14:textId="77777777" w:rsidR="003F641A" w:rsidRPr="003F641A" w:rsidRDefault="003F641A" w:rsidP="003F641A">
      <w:pPr>
        <w:jc w:val="both"/>
        <w:outlineLvl w:val="0"/>
        <w:rPr>
          <w:rFonts w:eastAsia="Calibri" w:cs="Times New Roman"/>
        </w:rPr>
      </w:pPr>
    </w:p>
    <w:p w14:paraId="432586A8" w14:textId="77777777" w:rsidR="003F641A" w:rsidRPr="003F641A" w:rsidRDefault="003F641A" w:rsidP="003F641A">
      <w:pPr>
        <w:jc w:val="both"/>
        <w:outlineLvl w:val="0"/>
        <w:rPr>
          <w:rFonts w:eastAsia="Calibri" w:cs="Times New Roman"/>
        </w:rPr>
      </w:pPr>
      <w:r w:rsidRPr="003F641A">
        <w:rPr>
          <w:rFonts w:eastAsia="Calibri" w:cs="Times New Roman"/>
        </w:rPr>
        <w:t>El resultado positivo obtenido del 1 de enero al 31 de diciembre de 2023, que asciende a 5 mil 898.9 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14:paraId="11ABB2DA" w14:textId="77777777" w:rsidR="003F641A" w:rsidRPr="003F641A" w:rsidRDefault="003F641A" w:rsidP="003F641A">
      <w:pPr>
        <w:jc w:val="both"/>
        <w:outlineLvl w:val="0"/>
        <w:rPr>
          <w:rFonts w:eastAsia="Calibri" w:cs="Times New Roman"/>
        </w:rPr>
      </w:pPr>
    </w:p>
    <w:p w14:paraId="02F9042E" w14:textId="77777777" w:rsidR="003F641A" w:rsidRPr="003F641A" w:rsidRDefault="003F641A" w:rsidP="003F641A">
      <w:pPr>
        <w:jc w:val="both"/>
        <w:rPr>
          <w:rFonts w:eastAsia="Calibri"/>
          <w:b/>
          <w:bCs/>
          <w:iCs w:val="0"/>
        </w:rPr>
      </w:pPr>
      <w:r w:rsidRPr="003F641A">
        <w:rPr>
          <w:rFonts w:eastAsia="Calibri"/>
          <w:b/>
          <w:bCs/>
          <w:iCs w:val="0"/>
        </w:rPr>
        <w:t>Ingresos y otros beneficios</w:t>
      </w:r>
    </w:p>
    <w:p w14:paraId="262207EB" w14:textId="77777777" w:rsidR="003F641A" w:rsidRPr="003F641A" w:rsidRDefault="003F641A" w:rsidP="003F641A">
      <w:pPr>
        <w:jc w:val="both"/>
        <w:outlineLvl w:val="0"/>
        <w:rPr>
          <w:rFonts w:eastAsia="Calibri" w:cs="Times New Roman"/>
        </w:rPr>
      </w:pPr>
    </w:p>
    <w:p w14:paraId="0296867D" w14:textId="77777777" w:rsidR="003F641A" w:rsidRPr="003F641A" w:rsidRDefault="003F641A" w:rsidP="003F641A">
      <w:pPr>
        <w:jc w:val="both"/>
        <w:outlineLvl w:val="0"/>
        <w:rPr>
          <w:rFonts w:eastAsia="Calibri" w:cs="Times New Roman"/>
          <w:b/>
        </w:rPr>
      </w:pPr>
      <w:r w:rsidRPr="003F641A">
        <w:rPr>
          <w:rFonts w:eastAsia="Calibri" w:cs="Times New Roman"/>
          <w:b/>
        </w:rPr>
        <w:t>Ingresos de gestión</w:t>
      </w:r>
    </w:p>
    <w:p w14:paraId="63B211CB" w14:textId="77777777" w:rsidR="003F641A" w:rsidRPr="003F641A" w:rsidRDefault="003F641A" w:rsidP="003F641A">
      <w:pPr>
        <w:jc w:val="both"/>
        <w:outlineLvl w:val="0"/>
        <w:rPr>
          <w:rFonts w:eastAsia="Calibri" w:cs="Times New Roman"/>
        </w:rPr>
      </w:pPr>
    </w:p>
    <w:p w14:paraId="41619548" w14:textId="77777777" w:rsidR="003F641A" w:rsidRPr="003F641A" w:rsidRDefault="003F641A" w:rsidP="003F641A">
      <w:pPr>
        <w:jc w:val="both"/>
        <w:outlineLvl w:val="0"/>
        <w:rPr>
          <w:rFonts w:eastAsia="Calibri" w:cs="Times New Roman"/>
        </w:rPr>
      </w:pPr>
      <w:r w:rsidRPr="003F641A">
        <w:rPr>
          <w:rFonts w:eastAsia="Calibri" w:cs="Times New Roman"/>
        </w:rPr>
        <w:t xml:space="preserve">Los ingresos ascienden a 38 mil 701.1 millones de pesos, estos son originados principalmente por las ministraciones a las entidades, recibidos a través de participaciones, aportaciones, convenios, incentivos derivados de la colaboración fiscal y fondo distintos de aportaciones, así como de las transferencias, asignaciones, subsidios y subvenciones, y pensiones y jubilaciones. Además, este rubro se integra por los ingresos por venta de bienes y prestación de servicio, tales como los recursos regularizados presupuestalmente, a su vez autorizados por la Junta Directiva, captados a través de cuotas educacionales durante el ejercicio actual y de ejercicios anteriores, así mismo por los registros derivado de la captación de recursos a través de conceptos como: certificados parciales o de estudio, expedición de credenciales y/o reposición, exámenes, servicios derivados de actividades educacionales, inscripciones / reinscripciones; así como recursos derivados de servicios médicos en el banco de sangre, prestados por las Entidades Paraestatales y Fideicomisos No Empresariales y No Financieros. </w:t>
      </w:r>
    </w:p>
    <w:p w14:paraId="7DA63E51" w14:textId="77777777" w:rsidR="003F641A" w:rsidRPr="003F641A" w:rsidRDefault="003F641A" w:rsidP="003F641A">
      <w:pPr>
        <w:jc w:val="both"/>
        <w:outlineLvl w:val="0"/>
        <w:rPr>
          <w:rFonts w:eastAsia="Calibri" w:cs="Times New Roman"/>
        </w:rPr>
      </w:pPr>
    </w:p>
    <w:p w14:paraId="6DB1B2D8" w14:textId="77777777" w:rsidR="003F641A" w:rsidRPr="003F641A" w:rsidRDefault="003F641A" w:rsidP="003F641A">
      <w:pPr>
        <w:jc w:val="both"/>
        <w:outlineLvl w:val="0"/>
        <w:rPr>
          <w:rFonts w:eastAsia="Calibri" w:cs="Times New Roman"/>
        </w:rPr>
      </w:pPr>
      <w:r w:rsidRPr="003F641A">
        <w:rPr>
          <w:rFonts w:eastAsia="Calibri" w:cs="Times New Roman"/>
        </w:rPr>
        <w:t>Así mismo, en este rubro se registran, los ingresos obtenidos por concepto de remanentes de años anteriores, así como, redondeos a favor por concepto de pagos de facturas e impuestos, por apertura de cuentas bancarias, bonificaciones, reintegros, entre otros.</w:t>
      </w:r>
    </w:p>
    <w:p w14:paraId="5526E767" w14:textId="77777777" w:rsidR="003F641A" w:rsidRPr="003F641A" w:rsidRDefault="003F641A" w:rsidP="003F641A">
      <w:pPr>
        <w:jc w:val="both"/>
        <w:outlineLvl w:val="0"/>
        <w:rPr>
          <w:rFonts w:eastAsia="Calibri" w:cs="Times New Roman"/>
        </w:rPr>
      </w:pPr>
    </w:p>
    <w:p w14:paraId="508839A7" w14:textId="77777777" w:rsidR="003F641A" w:rsidRPr="003F641A" w:rsidRDefault="003F641A" w:rsidP="003F641A">
      <w:pPr>
        <w:jc w:val="both"/>
        <w:rPr>
          <w:rFonts w:eastAsia="Calibri"/>
          <w:b/>
          <w:bCs/>
          <w:iCs w:val="0"/>
        </w:rPr>
      </w:pPr>
      <w:r w:rsidRPr="003F641A">
        <w:rPr>
          <w:rFonts w:eastAsia="Calibri"/>
          <w:b/>
          <w:bCs/>
          <w:iCs w:val="0"/>
        </w:rPr>
        <w:lastRenderedPageBreak/>
        <w:t>Gastos y otras pérdidas</w:t>
      </w:r>
    </w:p>
    <w:p w14:paraId="15189057"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6A6616D2" w14:textId="77777777" w:rsidR="003F641A" w:rsidRPr="003F641A" w:rsidRDefault="003F641A" w:rsidP="003F641A">
      <w:pPr>
        <w:jc w:val="both"/>
        <w:outlineLvl w:val="0"/>
        <w:rPr>
          <w:rFonts w:eastAsia="Calibri" w:cs="Times New Roman"/>
        </w:rPr>
      </w:pPr>
      <w:r w:rsidRPr="003F641A">
        <w:rPr>
          <w:rFonts w:eastAsia="Calibri" w:cs="Times New Roman"/>
        </w:rPr>
        <w:t>Los gastos y otras pérdidas son aquellas cuentas que registran los gastos de funcionamiento de las Entidades Paraestatales y Fideicomisos No Empresariales y No Financieros, las transferencias, asignaciones, subsidios y otras ayudas, así como la disminución de bienes por pérdida u obsolescencia, además la disminución de inventarios de mercancía para venta, los cuales ascienden a un importe de 32 mil 802.2 millones de pesos.</w:t>
      </w:r>
    </w:p>
    <w:p w14:paraId="69865F7C" w14:textId="77777777" w:rsidR="003F641A" w:rsidRPr="003F641A" w:rsidRDefault="003F641A" w:rsidP="003F641A">
      <w:pPr>
        <w:jc w:val="both"/>
        <w:outlineLvl w:val="0"/>
        <w:rPr>
          <w:rFonts w:eastAsia="Calibri" w:cs="Times New Roman"/>
        </w:rPr>
      </w:pPr>
    </w:p>
    <w:p w14:paraId="630A1926" w14:textId="77777777" w:rsidR="003F641A" w:rsidRPr="003F641A" w:rsidRDefault="003F641A" w:rsidP="003F641A">
      <w:pPr>
        <w:jc w:val="both"/>
        <w:outlineLvl w:val="0"/>
        <w:rPr>
          <w:rFonts w:eastAsia="Calibri" w:cs="Times New Roman"/>
        </w:rPr>
      </w:pPr>
      <w:r w:rsidRPr="003F641A">
        <w:rPr>
          <w:rFonts w:eastAsia="Calibri" w:cs="Times New Roman"/>
        </w:rPr>
        <w:t>También se encuentran conceptos como redondeos a cargo por concepto de facturas e impuestos, así como, los registros de aquellos bienes enajenables e inventariables, cuyo costo unitario de adquisición no sobrepasa 70 veces el valor diario de la Unidad de Medida y Actualización (UMA).</w:t>
      </w:r>
    </w:p>
    <w:p w14:paraId="15739F5F" w14:textId="77777777" w:rsidR="003F641A" w:rsidRPr="003F641A" w:rsidRDefault="003F641A" w:rsidP="003F641A">
      <w:pPr>
        <w:jc w:val="both"/>
        <w:outlineLvl w:val="0"/>
        <w:rPr>
          <w:rFonts w:eastAsia="Calibri" w:cs="Times New Roman"/>
        </w:rPr>
      </w:pPr>
    </w:p>
    <w:p w14:paraId="0FB5CDD1" w14:textId="77777777" w:rsidR="003F641A" w:rsidRPr="003F641A" w:rsidRDefault="003F641A" w:rsidP="003F641A">
      <w:pPr>
        <w:rPr>
          <w:rFonts w:eastAsia="Calibri" w:cs="Times New Roman"/>
        </w:rPr>
      </w:pPr>
    </w:p>
    <w:p w14:paraId="4CA57748" w14:textId="77777777" w:rsidR="003F641A" w:rsidRPr="003F641A" w:rsidRDefault="003F641A" w:rsidP="003F641A">
      <w:pPr>
        <w:jc w:val="both"/>
        <w:rPr>
          <w:rFonts w:eastAsia="Calibri"/>
          <w:b/>
          <w:bCs/>
          <w:iCs w:val="0"/>
          <w:caps/>
        </w:rPr>
      </w:pPr>
      <w:r w:rsidRPr="003F641A">
        <w:rPr>
          <w:rFonts w:eastAsia="Calibri"/>
          <w:b/>
          <w:bCs/>
          <w:iCs w:val="0"/>
        </w:rPr>
        <w:t>Notas al estado de situación financiera</w:t>
      </w:r>
    </w:p>
    <w:p w14:paraId="02DDF361" w14:textId="77777777" w:rsidR="003F641A" w:rsidRPr="003F641A" w:rsidRDefault="003F641A" w:rsidP="003F641A">
      <w:pPr>
        <w:outlineLvl w:val="0"/>
        <w:rPr>
          <w:b/>
          <w:bCs/>
        </w:rPr>
      </w:pPr>
    </w:p>
    <w:p w14:paraId="17CE8B22" w14:textId="77777777" w:rsidR="003F641A" w:rsidRPr="003F641A" w:rsidRDefault="003F641A" w:rsidP="003F641A">
      <w:pPr>
        <w:jc w:val="both"/>
        <w:rPr>
          <w:rFonts w:eastAsia="Calibri"/>
          <w:b/>
          <w:bCs/>
          <w:iCs w:val="0"/>
        </w:rPr>
      </w:pPr>
      <w:r w:rsidRPr="003F641A">
        <w:rPr>
          <w:rFonts w:eastAsia="Calibri"/>
          <w:b/>
          <w:bCs/>
          <w:iCs w:val="0"/>
        </w:rPr>
        <w:t>Activo</w:t>
      </w:r>
    </w:p>
    <w:p w14:paraId="69BC6859" w14:textId="77777777" w:rsidR="003F641A" w:rsidRPr="003F641A" w:rsidRDefault="003F641A" w:rsidP="003F641A">
      <w:pPr>
        <w:jc w:val="both"/>
      </w:pPr>
    </w:p>
    <w:bookmarkEnd w:id="2"/>
    <w:p w14:paraId="7BFC1CBC" w14:textId="77777777" w:rsidR="003F641A" w:rsidRPr="003F641A" w:rsidRDefault="003F641A" w:rsidP="003F641A">
      <w:pPr>
        <w:jc w:val="both"/>
        <w:rPr>
          <w:rFonts w:eastAsia="Calibri" w:cs="Times New Roman"/>
          <w:bCs/>
        </w:rPr>
      </w:pPr>
      <w:r w:rsidRPr="003F641A">
        <w:rPr>
          <w:rFonts w:eastAsia="Calibri" w:cs="Times New Roman"/>
          <w:bCs/>
        </w:rPr>
        <w:t xml:space="preserve">El activo se compone de los fondos, valores, derechos y bienes cuantificados en términos monetarios, los cuales controlan y disponen las Entidades Paraestatales y Fideicomisos No Empresariales y No Financieros para la prestación de servicios públicos, éste se integra como sigue: </w:t>
      </w:r>
    </w:p>
    <w:p w14:paraId="11E7428C" w14:textId="77777777" w:rsidR="003F641A" w:rsidRPr="003F641A" w:rsidRDefault="003F641A" w:rsidP="003F641A">
      <w:pPr>
        <w:jc w:val="both"/>
        <w:rPr>
          <w:rFonts w:eastAsia="Calibri" w:cs="Times New Roman"/>
        </w:rPr>
      </w:pPr>
    </w:p>
    <w:p w14:paraId="6FF0BE36" w14:textId="77777777" w:rsidR="003F641A" w:rsidRPr="003F641A" w:rsidRDefault="003F641A" w:rsidP="003F641A">
      <w:pPr>
        <w:jc w:val="both"/>
        <w:rPr>
          <w:rFonts w:eastAsia="Calibri"/>
          <w:b/>
          <w:bCs/>
          <w:iCs w:val="0"/>
        </w:rPr>
      </w:pPr>
      <w:bookmarkStart w:id="3" w:name="_Hlk125467084"/>
      <w:r w:rsidRPr="003F641A">
        <w:rPr>
          <w:rFonts w:eastAsia="Calibri"/>
          <w:b/>
          <w:bCs/>
          <w:iCs w:val="0"/>
        </w:rPr>
        <w:t>Circulante</w:t>
      </w:r>
    </w:p>
    <w:bookmarkEnd w:id="3"/>
    <w:p w14:paraId="01BE1728" w14:textId="77777777" w:rsidR="003F641A" w:rsidRPr="003F641A" w:rsidRDefault="003F641A" w:rsidP="003F641A">
      <w:pPr>
        <w:jc w:val="both"/>
        <w:rPr>
          <w:rFonts w:eastAsia="Calibri" w:cs="Times New Roman"/>
        </w:rPr>
      </w:pPr>
    </w:p>
    <w:p w14:paraId="748AFE9E" w14:textId="77777777" w:rsidR="003F641A" w:rsidRPr="003F641A" w:rsidRDefault="003F641A" w:rsidP="003F641A">
      <w:pPr>
        <w:autoSpaceDE w:val="0"/>
        <w:autoSpaceDN w:val="0"/>
        <w:adjustRightInd w:val="0"/>
        <w:jc w:val="center"/>
        <w:rPr>
          <w:rFonts w:eastAsia="Calibri" w:cs="Times New Roman"/>
          <w:b/>
          <w:bCs/>
        </w:rPr>
      </w:pPr>
      <w:r w:rsidRPr="003F641A">
        <w:rPr>
          <w:rFonts w:ascii="Calibri" w:eastAsia="Calibri" w:hAnsi="Calibri" w:cs="Times New Roman"/>
          <w:iCs w:val="0"/>
          <w:noProof/>
          <w:sz w:val="22"/>
          <w:szCs w:val="22"/>
          <w:lang w:val="es-MX" w:eastAsia="es-MX"/>
        </w:rPr>
        <w:drawing>
          <wp:inline distT="0" distB="0" distL="0" distR="0" wp14:anchorId="178CAE05" wp14:editId="0AFCC685">
            <wp:extent cx="3412490" cy="35909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2490" cy="3590925"/>
                    </a:xfrm>
                    <a:prstGeom prst="rect">
                      <a:avLst/>
                    </a:prstGeom>
                    <a:noFill/>
                    <a:ln>
                      <a:noFill/>
                    </a:ln>
                  </pic:spPr>
                </pic:pic>
              </a:graphicData>
            </a:graphic>
          </wp:inline>
        </w:drawing>
      </w:r>
    </w:p>
    <w:p w14:paraId="1356F03C" w14:textId="77777777" w:rsidR="003F641A" w:rsidRPr="003F641A" w:rsidRDefault="003F641A" w:rsidP="003F641A">
      <w:pPr>
        <w:numPr>
          <w:ilvl w:val="1"/>
          <w:numId w:val="0"/>
        </w:numPr>
        <w:jc w:val="both"/>
        <w:rPr>
          <w:rFonts w:cs="Times New Roman"/>
          <w:b/>
          <w:i/>
          <w:u w:val="single"/>
        </w:rPr>
      </w:pPr>
    </w:p>
    <w:p w14:paraId="094AE985" w14:textId="77777777" w:rsidR="003F641A" w:rsidRPr="003F641A" w:rsidRDefault="003F641A" w:rsidP="003F641A">
      <w:pPr>
        <w:numPr>
          <w:ilvl w:val="1"/>
          <w:numId w:val="0"/>
        </w:numPr>
        <w:jc w:val="both"/>
        <w:rPr>
          <w:rFonts w:cs="Times New Roman"/>
          <w:b/>
          <w:i/>
          <w:u w:val="single"/>
        </w:rPr>
      </w:pPr>
    </w:p>
    <w:p w14:paraId="19ED3DE1"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Efectivo y equivalentes</w:t>
      </w:r>
    </w:p>
    <w:p w14:paraId="3D6B9ACF" w14:textId="77777777" w:rsidR="003F641A" w:rsidRPr="003F641A" w:rsidRDefault="003F641A" w:rsidP="003F641A">
      <w:pPr>
        <w:jc w:val="both"/>
        <w:outlineLvl w:val="0"/>
        <w:rPr>
          <w:rFonts w:eastAsia="Calibri" w:cs="Times New Roman"/>
          <w:bCs/>
          <w:i/>
          <w:iCs w:val="0"/>
        </w:rPr>
      </w:pPr>
    </w:p>
    <w:p w14:paraId="641EC845"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Del 1 de enero al 31 de diciembre de 2023 este rubro, asciende a un monto de 3 mil 931.0 millones de pesos, y representa el 82.8 % del activo circulante, se integra principalmente por la disponibilidad financiera por las ministraciones radicadas para cubrir los compromisos de pago a proveedores y prestadores de servicios, así como impuestos retenidos y sueldos.</w:t>
      </w:r>
    </w:p>
    <w:p w14:paraId="0BF5ED70" w14:textId="77777777" w:rsidR="003F641A" w:rsidRPr="003F641A" w:rsidRDefault="003F641A" w:rsidP="003F641A">
      <w:pPr>
        <w:autoSpaceDE w:val="0"/>
        <w:autoSpaceDN w:val="0"/>
        <w:adjustRightInd w:val="0"/>
        <w:jc w:val="both"/>
        <w:rPr>
          <w:rFonts w:eastAsia="Calibri" w:cs="Times New Roman"/>
        </w:rPr>
      </w:pPr>
    </w:p>
    <w:p w14:paraId="74A2AA84"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Además, este rubro registra lo siguiente:</w:t>
      </w:r>
    </w:p>
    <w:p w14:paraId="1F747913" w14:textId="77777777" w:rsidR="003F641A" w:rsidRPr="003F641A" w:rsidRDefault="003F641A" w:rsidP="003F641A">
      <w:pPr>
        <w:autoSpaceDE w:val="0"/>
        <w:autoSpaceDN w:val="0"/>
        <w:adjustRightInd w:val="0"/>
        <w:jc w:val="both"/>
        <w:rPr>
          <w:rFonts w:eastAsia="Calibri" w:cs="Times New Roman"/>
        </w:rPr>
      </w:pPr>
    </w:p>
    <w:p w14:paraId="52558FC3" w14:textId="77777777" w:rsidR="003F641A" w:rsidRPr="003F641A" w:rsidRDefault="003F641A" w:rsidP="003F641A">
      <w:pPr>
        <w:numPr>
          <w:ilvl w:val="0"/>
          <w:numId w:val="2"/>
        </w:numPr>
        <w:spacing w:after="120"/>
        <w:ind w:left="357" w:hanging="357"/>
        <w:jc w:val="both"/>
        <w:rPr>
          <w:rFonts w:eastAsia="MS Mincho"/>
          <w:lang w:eastAsia="es-MX"/>
        </w:rPr>
      </w:pPr>
      <w:r w:rsidRPr="003F641A">
        <w:rPr>
          <w:rFonts w:eastAsia="MS Mincho"/>
          <w:lang w:eastAsia="es-MX"/>
        </w:rPr>
        <w:lastRenderedPageBreak/>
        <w:t>Ingresos Propios adquiridos a través de las actividades de las Entidades Paraestatales y Fideicomisos No Empresariales y No Financieros.</w:t>
      </w:r>
    </w:p>
    <w:p w14:paraId="37791F15" w14:textId="77777777" w:rsidR="003F641A" w:rsidRPr="003F641A" w:rsidRDefault="003F641A" w:rsidP="003F641A">
      <w:pPr>
        <w:numPr>
          <w:ilvl w:val="0"/>
          <w:numId w:val="2"/>
        </w:numPr>
        <w:spacing w:after="120"/>
        <w:ind w:hanging="357"/>
        <w:jc w:val="both"/>
        <w:rPr>
          <w:rFonts w:eastAsia="MS Mincho"/>
          <w:lang w:eastAsia="es-MX"/>
        </w:rPr>
      </w:pPr>
      <w:r w:rsidRPr="003F641A">
        <w:rPr>
          <w:rFonts w:eastAsia="MS Mincho"/>
          <w:lang w:eastAsia="es-MX"/>
        </w:rPr>
        <w:t>Depósitos otorgados en favor de proyectos preventivos de mantenimiento de planteles educativos, para atender las necesidades de liquidez para su conservación, y con ello, se mantengan espacios escolares dignos.</w:t>
      </w:r>
    </w:p>
    <w:p w14:paraId="3CAA2A0B" w14:textId="77777777" w:rsidR="003F641A" w:rsidRPr="003F641A" w:rsidRDefault="003F641A" w:rsidP="003F641A">
      <w:pPr>
        <w:numPr>
          <w:ilvl w:val="0"/>
          <w:numId w:val="2"/>
        </w:numPr>
        <w:spacing w:after="120"/>
        <w:ind w:left="357" w:hanging="357"/>
        <w:jc w:val="both"/>
        <w:rPr>
          <w:rFonts w:eastAsia="MS Mincho"/>
          <w:lang w:eastAsia="es-MX"/>
        </w:rPr>
      </w:pPr>
      <w:r w:rsidRPr="003F641A">
        <w:rPr>
          <w:rFonts w:eastAsia="MS Mincho"/>
          <w:lang w:eastAsia="es-MX"/>
        </w:rPr>
        <w:t>Depósitos otorgados a terceros por servicio de arrendamiento de instalaciones o equipos utilizados por las Entidades Paraestatales y Fideicomisos No Empresariales y No Financieros; así como, para servicios básicos y técnicos especializados.</w:t>
      </w:r>
    </w:p>
    <w:p w14:paraId="671BB16C" w14:textId="77777777" w:rsidR="003F641A" w:rsidRPr="003F641A" w:rsidRDefault="003F641A" w:rsidP="003F641A">
      <w:pPr>
        <w:numPr>
          <w:ilvl w:val="0"/>
          <w:numId w:val="2"/>
        </w:numPr>
        <w:spacing w:after="120"/>
        <w:ind w:left="357" w:hanging="357"/>
        <w:jc w:val="both"/>
        <w:rPr>
          <w:rFonts w:eastAsia="MS Mincho"/>
          <w:lang w:eastAsia="es-MX"/>
        </w:rPr>
      </w:pPr>
      <w:r w:rsidRPr="003F641A">
        <w:rPr>
          <w:rFonts w:eastAsia="MS Mincho"/>
          <w:lang w:eastAsia="es-MX"/>
        </w:rPr>
        <w:t>Recursos colocados en inversiones por parte de la Universidad de Ciencias y Artes de Chiapas, y del Colegio de Estudios Científicos y Tecnológicos del Estado de Chiapas.</w:t>
      </w:r>
    </w:p>
    <w:p w14:paraId="2C727CBD" w14:textId="77777777" w:rsidR="003F641A" w:rsidRPr="003F641A" w:rsidRDefault="003F641A" w:rsidP="003F641A">
      <w:pPr>
        <w:autoSpaceDE w:val="0"/>
        <w:autoSpaceDN w:val="0"/>
        <w:adjustRightInd w:val="0"/>
        <w:jc w:val="both"/>
        <w:rPr>
          <w:rFonts w:eastAsia="Calibri" w:cs="Times New Roman"/>
        </w:rPr>
      </w:pPr>
    </w:p>
    <w:p w14:paraId="3F2825D8"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Este rubro de igual manera refleja recursos de mayor liquidez, que son totalmente convertibles en importes determinados en efectivo sujeto a un riesgo mínimo de su valor, los cuales se encuentran disponibles para solventar gastos de operación y de inversión, que a su vez inciden en el patrimonio de las Entidades Paraestatales y Fideicomisos No Empresariales y No Financieros.</w:t>
      </w:r>
    </w:p>
    <w:p w14:paraId="02409861" w14:textId="77777777" w:rsidR="003F641A" w:rsidRPr="003F641A" w:rsidRDefault="003F641A" w:rsidP="003F641A">
      <w:pPr>
        <w:autoSpaceDE w:val="0"/>
        <w:autoSpaceDN w:val="0"/>
        <w:adjustRightInd w:val="0"/>
        <w:jc w:val="both"/>
        <w:rPr>
          <w:rFonts w:eastAsia="Calibri" w:cs="Times New Roman"/>
        </w:rPr>
      </w:pPr>
    </w:p>
    <w:p w14:paraId="03226A9A" w14:textId="77777777" w:rsidR="003F641A" w:rsidRPr="003F641A" w:rsidRDefault="003F641A" w:rsidP="003F641A">
      <w:pPr>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1E58817C" wp14:editId="446C291F">
            <wp:extent cx="4297045" cy="1851025"/>
            <wp:effectExtent l="0" t="0" r="825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7045" cy="1851025"/>
                    </a:xfrm>
                    <a:prstGeom prst="rect">
                      <a:avLst/>
                    </a:prstGeom>
                    <a:noFill/>
                    <a:ln>
                      <a:noFill/>
                    </a:ln>
                  </pic:spPr>
                </pic:pic>
              </a:graphicData>
            </a:graphic>
          </wp:inline>
        </w:drawing>
      </w:r>
    </w:p>
    <w:p w14:paraId="5A60539D" w14:textId="48F79ED6" w:rsidR="003F641A" w:rsidRDefault="003F641A" w:rsidP="003F641A">
      <w:pPr>
        <w:tabs>
          <w:tab w:val="left" w:pos="1418"/>
        </w:tabs>
        <w:autoSpaceDE w:val="0"/>
        <w:autoSpaceDN w:val="0"/>
        <w:adjustRightInd w:val="0"/>
        <w:jc w:val="both"/>
        <w:rPr>
          <w:rFonts w:eastAsia="Calibri" w:cs="Times New Roman"/>
          <w:b/>
          <w:i/>
        </w:rPr>
      </w:pPr>
    </w:p>
    <w:p w14:paraId="5E954F7B"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3C748B51"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Derechos a recibir efectivo o equivalentes</w:t>
      </w:r>
    </w:p>
    <w:p w14:paraId="5E117A17"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5F85B220"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Este rubro del activo se compone de los recursos financieros del Fondo de Aportaciones para la Seguridad Pública (FASP), así como del Fondo para el Fortalecimiento de las Instituciones de Seguridad Pública (FOFISP), de igual forma se integra por deudores morosos por concepto de gastos a comprobar y por préstamos a corto plazo, concedidos a funcionarios y empleados de las Entidades Paraestatales y Fideicomisos No Empresariales y No Financieros, pendientes de recuperar.</w:t>
      </w:r>
    </w:p>
    <w:p w14:paraId="270F5370" w14:textId="77777777" w:rsidR="003F641A" w:rsidRPr="003F641A" w:rsidRDefault="003F641A" w:rsidP="003F641A">
      <w:pPr>
        <w:autoSpaceDE w:val="0"/>
        <w:autoSpaceDN w:val="0"/>
        <w:adjustRightInd w:val="0"/>
        <w:jc w:val="both"/>
        <w:rPr>
          <w:rFonts w:eastAsia="Calibri" w:cs="Times New Roman"/>
        </w:rPr>
      </w:pPr>
    </w:p>
    <w:p w14:paraId="1200B30D" w14:textId="77777777" w:rsidR="003F641A" w:rsidRPr="003F641A" w:rsidRDefault="003F641A" w:rsidP="003F641A">
      <w:pPr>
        <w:tabs>
          <w:tab w:val="left" w:pos="1418"/>
        </w:tabs>
        <w:autoSpaceDE w:val="0"/>
        <w:autoSpaceDN w:val="0"/>
        <w:adjustRightInd w:val="0"/>
        <w:jc w:val="both"/>
        <w:rPr>
          <w:rFonts w:eastAsia="Calibri" w:cs="Times New Roman"/>
        </w:rPr>
      </w:pPr>
      <w:r w:rsidRPr="003F641A">
        <w:rPr>
          <w:rFonts w:eastAsia="Calibri" w:cs="Times New Roman"/>
        </w:rPr>
        <w:t>Este rubro expone la cifra de 66.8 millones de pesos y representa el 1.4 % del activo circulante.</w:t>
      </w:r>
    </w:p>
    <w:p w14:paraId="3FE1B883" w14:textId="77777777" w:rsidR="003F641A" w:rsidRPr="003F641A" w:rsidRDefault="003F641A" w:rsidP="003F641A">
      <w:pPr>
        <w:tabs>
          <w:tab w:val="left" w:pos="1418"/>
        </w:tabs>
        <w:autoSpaceDE w:val="0"/>
        <w:autoSpaceDN w:val="0"/>
        <w:adjustRightInd w:val="0"/>
        <w:jc w:val="both"/>
        <w:rPr>
          <w:rFonts w:eastAsia="Calibri" w:cs="Times New Roman"/>
          <w:b/>
        </w:rPr>
      </w:pPr>
    </w:p>
    <w:p w14:paraId="51705BAC" w14:textId="77777777" w:rsidR="003F641A" w:rsidRPr="003F641A" w:rsidRDefault="003F641A" w:rsidP="003F641A">
      <w:pPr>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04725126" wp14:editId="309FCBD6">
            <wp:extent cx="4297045" cy="152400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7045" cy="1524000"/>
                    </a:xfrm>
                    <a:prstGeom prst="rect">
                      <a:avLst/>
                    </a:prstGeom>
                    <a:noFill/>
                    <a:ln>
                      <a:noFill/>
                    </a:ln>
                  </pic:spPr>
                </pic:pic>
              </a:graphicData>
            </a:graphic>
          </wp:inline>
        </w:drawing>
      </w:r>
    </w:p>
    <w:p w14:paraId="5E79A668" w14:textId="2117166D" w:rsidR="003F641A" w:rsidRDefault="003F641A" w:rsidP="003F641A">
      <w:pPr>
        <w:autoSpaceDE w:val="0"/>
        <w:autoSpaceDN w:val="0"/>
        <w:adjustRightInd w:val="0"/>
        <w:jc w:val="both"/>
        <w:rPr>
          <w:rFonts w:eastAsia="Calibri" w:cs="Times New Roman"/>
        </w:rPr>
      </w:pPr>
    </w:p>
    <w:p w14:paraId="0DC406ED" w14:textId="344A75D5" w:rsidR="003F641A" w:rsidRDefault="003F641A" w:rsidP="003F641A">
      <w:pPr>
        <w:autoSpaceDE w:val="0"/>
        <w:autoSpaceDN w:val="0"/>
        <w:adjustRightInd w:val="0"/>
        <w:jc w:val="both"/>
        <w:rPr>
          <w:rFonts w:eastAsia="Calibri" w:cs="Times New Roman"/>
        </w:rPr>
      </w:pPr>
    </w:p>
    <w:p w14:paraId="27974E03" w14:textId="72989690" w:rsidR="003F641A" w:rsidRDefault="003F641A" w:rsidP="003F641A">
      <w:pPr>
        <w:autoSpaceDE w:val="0"/>
        <w:autoSpaceDN w:val="0"/>
        <w:adjustRightInd w:val="0"/>
        <w:jc w:val="both"/>
        <w:rPr>
          <w:rFonts w:eastAsia="Calibri" w:cs="Times New Roman"/>
        </w:rPr>
      </w:pPr>
    </w:p>
    <w:p w14:paraId="62D50B78" w14:textId="2225EFDC" w:rsidR="003F641A" w:rsidRDefault="003F641A" w:rsidP="003F641A">
      <w:pPr>
        <w:autoSpaceDE w:val="0"/>
        <w:autoSpaceDN w:val="0"/>
        <w:adjustRightInd w:val="0"/>
        <w:jc w:val="both"/>
        <w:rPr>
          <w:rFonts w:eastAsia="Calibri" w:cs="Times New Roman"/>
        </w:rPr>
      </w:pPr>
    </w:p>
    <w:p w14:paraId="246F88AA" w14:textId="65DAAF02" w:rsidR="003F641A" w:rsidRDefault="003F641A" w:rsidP="003F641A">
      <w:pPr>
        <w:autoSpaceDE w:val="0"/>
        <w:autoSpaceDN w:val="0"/>
        <w:adjustRightInd w:val="0"/>
        <w:jc w:val="both"/>
        <w:rPr>
          <w:rFonts w:eastAsia="Calibri" w:cs="Times New Roman"/>
        </w:rPr>
      </w:pPr>
    </w:p>
    <w:p w14:paraId="1178C3FC" w14:textId="77777777" w:rsidR="003F641A" w:rsidRPr="003F641A" w:rsidRDefault="003F641A" w:rsidP="003F641A">
      <w:pPr>
        <w:autoSpaceDE w:val="0"/>
        <w:autoSpaceDN w:val="0"/>
        <w:adjustRightInd w:val="0"/>
        <w:jc w:val="both"/>
        <w:rPr>
          <w:rFonts w:eastAsia="Calibri" w:cs="Times New Roman"/>
        </w:rPr>
      </w:pPr>
    </w:p>
    <w:p w14:paraId="7BF1C436"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lastRenderedPageBreak/>
        <w:t>Derechos a recibir bienes o servicios</w:t>
      </w:r>
    </w:p>
    <w:p w14:paraId="0501430F"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1C76383F" w14:textId="77777777" w:rsidR="003F641A" w:rsidRPr="003F641A" w:rsidRDefault="003F641A" w:rsidP="003F641A">
      <w:pPr>
        <w:tabs>
          <w:tab w:val="left" w:pos="1418"/>
        </w:tabs>
        <w:autoSpaceDE w:val="0"/>
        <w:autoSpaceDN w:val="0"/>
        <w:adjustRightInd w:val="0"/>
        <w:jc w:val="both"/>
        <w:rPr>
          <w:rFonts w:eastAsia="Calibri" w:cs="Times New Roman"/>
        </w:rPr>
      </w:pPr>
      <w:r w:rsidRPr="003F641A">
        <w:rPr>
          <w:rFonts w:eastAsia="Calibri" w:cs="Times New Roman"/>
        </w:rPr>
        <w:t>Este rubro presenta la cifra de 117.4 millones de pesos al 31 de diciembre de 2023, representando el 2.5 % del activo circulante y se integra por los anticipos otorgados a proveedores, por adquisición de bienes inmuebles y muebles, así como por los anticipos a contratistas por obras públicas.</w:t>
      </w:r>
    </w:p>
    <w:p w14:paraId="7E587949" w14:textId="77777777" w:rsidR="003F641A" w:rsidRPr="003F641A" w:rsidRDefault="003F641A" w:rsidP="003F641A">
      <w:pPr>
        <w:tabs>
          <w:tab w:val="left" w:pos="1418"/>
        </w:tabs>
        <w:autoSpaceDE w:val="0"/>
        <w:autoSpaceDN w:val="0"/>
        <w:adjustRightInd w:val="0"/>
        <w:jc w:val="both"/>
        <w:rPr>
          <w:rFonts w:eastAsia="Calibri" w:cs="Times New Roman"/>
        </w:rPr>
      </w:pPr>
    </w:p>
    <w:p w14:paraId="2331F2C3" w14:textId="77777777" w:rsidR="003F641A" w:rsidRPr="003F641A" w:rsidRDefault="003F641A" w:rsidP="003F641A">
      <w:pPr>
        <w:tabs>
          <w:tab w:val="left" w:pos="1418"/>
        </w:tabs>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7D5BB0F2" wp14:editId="41A03CCF">
            <wp:extent cx="4297045" cy="1628140"/>
            <wp:effectExtent l="0" t="0" r="825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045" cy="1628140"/>
                    </a:xfrm>
                    <a:prstGeom prst="rect">
                      <a:avLst/>
                    </a:prstGeom>
                    <a:noFill/>
                    <a:ln>
                      <a:noFill/>
                    </a:ln>
                  </pic:spPr>
                </pic:pic>
              </a:graphicData>
            </a:graphic>
          </wp:inline>
        </w:drawing>
      </w:r>
    </w:p>
    <w:p w14:paraId="4E3AE573"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448158F9"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313F2D63"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Inventarios</w:t>
      </w:r>
    </w:p>
    <w:p w14:paraId="5FBCFC24"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7021CE5C"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lang w:eastAsia="es-MX"/>
        </w:rPr>
        <w:t>Este rubro al 31 de diciembre de 2023 asciende a 5.9 millones de pesos representando el 0.1% del activo circulante y refleja la existencia física de mercancías artesanales para su venta los cuales se tienen en el almacén general del Instituto Casa de las Artesanías de Chiapas.</w:t>
      </w:r>
    </w:p>
    <w:p w14:paraId="5BF6A518" w14:textId="77777777" w:rsidR="003F641A" w:rsidRPr="003F641A" w:rsidRDefault="003F641A" w:rsidP="003F641A">
      <w:pPr>
        <w:autoSpaceDE w:val="0"/>
        <w:autoSpaceDN w:val="0"/>
        <w:adjustRightInd w:val="0"/>
        <w:jc w:val="both"/>
        <w:rPr>
          <w:rFonts w:eastAsia="Calibri" w:cs="Times New Roman"/>
        </w:rPr>
      </w:pPr>
    </w:p>
    <w:p w14:paraId="2028655C" w14:textId="77777777" w:rsidR="003F641A" w:rsidRPr="003F641A" w:rsidRDefault="003F641A" w:rsidP="003F641A">
      <w:pPr>
        <w:autoSpaceDE w:val="0"/>
        <w:autoSpaceDN w:val="0"/>
        <w:adjustRightInd w:val="0"/>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drawing>
          <wp:inline distT="0" distB="0" distL="0" distR="0" wp14:anchorId="3B49A5A5" wp14:editId="1364799F">
            <wp:extent cx="4297045" cy="1010920"/>
            <wp:effectExtent l="0" t="0" r="825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045" cy="1010920"/>
                    </a:xfrm>
                    <a:prstGeom prst="rect">
                      <a:avLst/>
                    </a:prstGeom>
                    <a:noFill/>
                    <a:ln>
                      <a:noFill/>
                    </a:ln>
                  </pic:spPr>
                </pic:pic>
              </a:graphicData>
            </a:graphic>
          </wp:inline>
        </w:drawing>
      </w:r>
    </w:p>
    <w:p w14:paraId="48C53384"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50563887"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16C36A43"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Almacenes</w:t>
      </w:r>
    </w:p>
    <w:p w14:paraId="61D0504C"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0FA56A26" w14:textId="77777777" w:rsidR="003F641A" w:rsidRPr="003F641A" w:rsidRDefault="003F641A" w:rsidP="003F641A">
      <w:pPr>
        <w:autoSpaceDE w:val="0"/>
        <w:autoSpaceDN w:val="0"/>
        <w:adjustRightInd w:val="0"/>
        <w:jc w:val="both"/>
        <w:rPr>
          <w:rFonts w:eastAsia="Calibri" w:cs="Times New Roman"/>
          <w:lang w:eastAsia="es-MX"/>
        </w:rPr>
      </w:pPr>
      <w:r w:rsidRPr="003F641A">
        <w:rPr>
          <w:rFonts w:eastAsia="Calibri" w:cs="Times New Roman"/>
          <w:lang w:eastAsia="es-MX"/>
        </w:rPr>
        <w:t xml:space="preserve">El rubro de almacenes asciende a 113.7 millones de pesos, con </w:t>
      </w:r>
      <w:r w:rsidRPr="003F641A">
        <w:rPr>
          <w:rFonts w:eastAsia="Calibri" w:cs="Times New Roman"/>
        </w:rPr>
        <w:t xml:space="preserve">respecto al activo circulante representa el 2.4 % y </w:t>
      </w:r>
      <w:r w:rsidRPr="003F641A">
        <w:rPr>
          <w:rFonts w:eastAsia="Calibri" w:cs="Times New Roman"/>
          <w:lang w:eastAsia="es-MX"/>
        </w:rPr>
        <w:t xml:space="preserve">refleja la existencia física de materias primas y de consumibles que se tienen en los almacenes al 31 de diciembre de 2023, integrado principalmente por </w:t>
      </w:r>
      <w:r w:rsidRPr="003F641A">
        <w:rPr>
          <w:rFonts w:eastAsia="Calibri" w:cs="Times New Roman"/>
        </w:rPr>
        <w:t xml:space="preserve">materiales y suministro de consumo, como son los materiales y útiles de oficina, refacciones y accesorios de equipo de cómputo; </w:t>
      </w:r>
      <w:r w:rsidRPr="003F641A">
        <w:rPr>
          <w:rFonts w:eastAsia="Calibri" w:cs="Times New Roman"/>
          <w:lang w:eastAsia="es-MX"/>
        </w:rPr>
        <w:t>esenciales para la operatividad de las Entidades Paraestatales y Fideicomisos No Empresariales y No Financieras</w:t>
      </w:r>
      <w:r w:rsidRPr="003F641A">
        <w:rPr>
          <w:rFonts w:eastAsia="Calibri" w:cs="Times New Roman"/>
        </w:rPr>
        <w:t>.</w:t>
      </w:r>
    </w:p>
    <w:p w14:paraId="57E5F4EB" w14:textId="77777777" w:rsidR="003F641A" w:rsidRPr="003F641A" w:rsidRDefault="003F641A" w:rsidP="003F641A">
      <w:pPr>
        <w:autoSpaceDE w:val="0"/>
        <w:autoSpaceDN w:val="0"/>
        <w:adjustRightInd w:val="0"/>
        <w:jc w:val="both"/>
        <w:rPr>
          <w:rFonts w:eastAsia="Calibri" w:cs="Times New Roman"/>
          <w:lang w:eastAsia="es-MX"/>
        </w:rPr>
      </w:pPr>
    </w:p>
    <w:p w14:paraId="2BF1AF4B" w14:textId="77777777" w:rsidR="003F641A" w:rsidRPr="003F641A" w:rsidRDefault="003F641A" w:rsidP="003F641A">
      <w:pPr>
        <w:autoSpaceDE w:val="0"/>
        <w:autoSpaceDN w:val="0"/>
        <w:adjustRightInd w:val="0"/>
        <w:jc w:val="center"/>
        <w:rPr>
          <w:rFonts w:eastAsia="Calibri" w:cs="Times New Roman"/>
          <w:lang w:eastAsia="es-MX"/>
        </w:rPr>
      </w:pPr>
      <w:r w:rsidRPr="003F641A">
        <w:rPr>
          <w:rFonts w:ascii="Calibri" w:eastAsia="Calibri" w:hAnsi="Calibri" w:cs="Times New Roman"/>
          <w:iCs w:val="0"/>
          <w:noProof/>
          <w:sz w:val="22"/>
          <w:szCs w:val="22"/>
          <w:lang w:val="es-MX" w:eastAsia="es-MX"/>
        </w:rPr>
        <w:drawing>
          <wp:inline distT="0" distB="0" distL="0" distR="0" wp14:anchorId="109A719A" wp14:editId="1004D433">
            <wp:extent cx="4297045" cy="1144905"/>
            <wp:effectExtent l="0" t="0" r="8255"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7045" cy="1144905"/>
                    </a:xfrm>
                    <a:prstGeom prst="rect">
                      <a:avLst/>
                    </a:prstGeom>
                    <a:noFill/>
                    <a:ln>
                      <a:noFill/>
                    </a:ln>
                  </pic:spPr>
                </pic:pic>
              </a:graphicData>
            </a:graphic>
          </wp:inline>
        </w:drawing>
      </w:r>
    </w:p>
    <w:p w14:paraId="71DE9481" w14:textId="77777777" w:rsidR="003F641A" w:rsidRPr="003F641A" w:rsidRDefault="003F641A" w:rsidP="003F641A">
      <w:pPr>
        <w:autoSpaceDE w:val="0"/>
        <w:autoSpaceDN w:val="0"/>
        <w:adjustRightInd w:val="0"/>
        <w:jc w:val="both"/>
        <w:rPr>
          <w:rFonts w:eastAsia="Calibri" w:cs="Times New Roman"/>
          <w:lang w:eastAsia="es-MX"/>
        </w:rPr>
      </w:pPr>
    </w:p>
    <w:p w14:paraId="02F404EA" w14:textId="77777777" w:rsidR="003F641A" w:rsidRPr="003F641A" w:rsidRDefault="003F641A" w:rsidP="003F641A">
      <w:pPr>
        <w:autoSpaceDE w:val="0"/>
        <w:autoSpaceDN w:val="0"/>
        <w:adjustRightInd w:val="0"/>
        <w:jc w:val="both"/>
        <w:rPr>
          <w:rFonts w:eastAsia="Calibri" w:cs="Times New Roman"/>
          <w:lang w:eastAsia="es-MX"/>
        </w:rPr>
      </w:pPr>
    </w:p>
    <w:p w14:paraId="666D35C9" w14:textId="77777777" w:rsidR="003F641A" w:rsidRPr="003F641A" w:rsidRDefault="003F641A" w:rsidP="003F641A">
      <w:pPr>
        <w:autoSpaceDE w:val="0"/>
        <w:autoSpaceDN w:val="0"/>
        <w:adjustRightInd w:val="0"/>
        <w:jc w:val="both"/>
        <w:rPr>
          <w:rFonts w:eastAsia="Calibri" w:cs="Times New Roman"/>
          <w:lang w:eastAsia="es-MX"/>
        </w:rPr>
      </w:pPr>
    </w:p>
    <w:p w14:paraId="06B54361" w14:textId="77777777" w:rsidR="003F641A" w:rsidRPr="003F641A" w:rsidRDefault="003F641A" w:rsidP="003F641A">
      <w:pPr>
        <w:spacing w:after="160" w:line="259" w:lineRule="auto"/>
        <w:rPr>
          <w:rFonts w:cs="Times New Roman"/>
          <w:b/>
          <w:i/>
          <w:u w:val="single"/>
        </w:rPr>
      </w:pPr>
      <w:r w:rsidRPr="003F641A">
        <w:rPr>
          <w:rFonts w:cs="Times New Roman"/>
          <w:b/>
          <w:i/>
          <w:u w:val="single"/>
        </w:rPr>
        <w:br w:type="page"/>
      </w:r>
    </w:p>
    <w:p w14:paraId="72E6A52B"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lastRenderedPageBreak/>
        <w:t>Otros activos circulantes</w:t>
      </w:r>
    </w:p>
    <w:p w14:paraId="155B6706"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6E8C0328"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lang w:eastAsia="es-MX"/>
        </w:rPr>
        <w:t xml:space="preserve">En este rubro se expone la cifra de 511.1 millones de pesos, el cual </w:t>
      </w:r>
      <w:r w:rsidRPr="003F641A">
        <w:rPr>
          <w:rFonts w:eastAsia="Calibri" w:cs="Times New Roman"/>
        </w:rPr>
        <w:t>representa el 10.8 % del total del activo circulante y se integra por proyectos de mantenimiento (mantenimiento preventivo, menor y correctivo) de planteles educativos, para atender las necesidades de liquidez para su conservación y mantenimiento.</w:t>
      </w:r>
    </w:p>
    <w:p w14:paraId="0C61F54B" w14:textId="77777777" w:rsidR="003F641A" w:rsidRPr="003F641A" w:rsidRDefault="003F641A" w:rsidP="003F641A">
      <w:pPr>
        <w:autoSpaceDE w:val="0"/>
        <w:autoSpaceDN w:val="0"/>
        <w:adjustRightInd w:val="0"/>
        <w:jc w:val="both"/>
        <w:rPr>
          <w:rFonts w:eastAsia="Calibri" w:cs="Times New Roman"/>
        </w:rPr>
      </w:pPr>
    </w:p>
    <w:p w14:paraId="250BF71E" w14:textId="77777777" w:rsidR="003F641A" w:rsidRPr="003F641A" w:rsidRDefault="003F641A" w:rsidP="003F641A">
      <w:pPr>
        <w:autoSpaceDE w:val="0"/>
        <w:autoSpaceDN w:val="0"/>
        <w:adjustRightInd w:val="0"/>
        <w:jc w:val="center"/>
        <w:rPr>
          <w:rFonts w:eastAsia="Calibri" w:cs="Times New Roman"/>
          <w:lang w:eastAsia="es-MX"/>
        </w:rPr>
      </w:pPr>
      <w:r w:rsidRPr="003F641A">
        <w:rPr>
          <w:rFonts w:ascii="Calibri" w:eastAsia="Calibri" w:hAnsi="Calibri" w:cs="Times New Roman"/>
          <w:iCs w:val="0"/>
          <w:noProof/>
          <w:sz w:val="22"/>
          <w:szCs w:val="22"/>
          <w:lang w:val="es-MX" w:eastAsia="es-MX"/>
        </w:rPr>
        <w:drawing>
          <wp:inline distT="0" distB="0" distL="0" distR="0" wp14:anchorId="244D654C" wp14:editId="4833D400">
            <wp:extent cx="4297045" cy="1010920"/>
            <wp:effectExtent l="0" t="0" r="825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7045" cy="1010920"/>
                    </a:xfrm>
                    <a:prstGeom prst="rect">
                      <a:avLst/>
                    </a:prstGeom>
                    <a:noFill/>
                    <a:ln>
                      <a:noFill/>
                    </a:ln>
                  </pic:spPr>
                </pic:pic>
              </a:graphicData>
            </a:graphic>
          </wp:inline>
        </w:drawing>
      </w:r>
    </w:p>
    <w:p w14:paraId="57140E91" w14:textId="77777777" w:rsidR="003F641A" w:rsidRPr="003F641A" w:rsidRDefault="003F641A" w:rsidP="003F641A">
      <w:pPr>
        <w:autoSpaceDE w:val="0"/>
        <w:autoSpaceDN w:val="0"/>
        <w:adjustRightInd w:val="0"/>
        <w:jc w:val="both"/>
        <w:rPr>
          <w:rFonts w:eastAsia="Calibri" w:cs="Times New Roman"/>
          <w:lang w:eastAsia="es-MX"/>
        </w:rPr>
      </w:pPr>
    </w:p>
    <w:p w14:paraId="377FB442" w14:textId="77777777" w:rsidR="003F641A" w:rsidRPr="003F641A" w:rsidRDefault="003F641A" w:rsidP="003F641A">
      <w:pPr>
        <w:autoSpaceDE w:val="0"/>
        <w:autoSpaceDN w:val="0"/>
        <w:adjustRightInd w:val="0"/>
        <w:jc w:val="both"/>
        <w:rPr>
          <w:rFonts w:eastAsia="Calibri" w:cs="Times New Roman"/>
          <w:b/>
          <w:i/>
        </w:rPr>
      </w:pPr>
    </w:p>
    <w:p w14:paraId="39330AD0" w14:textId="77777777" w:rsidR="003F641A" w:rsidRPr="003F641A" w:rsidRDefault="003F641A" w:rsidP="003F641A">
      <w:pPr>
        <w:autoSpaceDE w:val="0"/>
        <w:autoSpaceDN w:val="0"/>
        <w:adjustRightInd w:val="0"/>
        <w:jc w:val="both"/>
        <w:rPr>
          <w:b/>
          <w:bCs/>
        </w:rPr>
      </w:pPr>
      <w:r w:rsidRPr="003F641A">
        <w:rPr>
          <w:b/>
          <w:bCs/>
        </w:rPr>
        <w:t>No circulante</w:t>
      </w:r>
    </w:p>
    <w:p w14:paraId="7632A84C" w14:textId="77777777" w:rsidR="003F641A" w:rsidRPr="003F641A" w:rsidRDefault="003F641A" w:rsidP="003F641A">
      <w:pPr>
        <w:autoSpaceDE w:val="0"/>
        <w:autoSpaceDN w:val="0"/>
        <w:adjustRightInd w:val="0"/>
        <w:jc w:val="center"/>
        <w:rPr>
          <w:noProof/>
          <w:lang w:eastAsia="es-MX"/>
        </w:rPr>
      </w:pPr>
    </w:p>
    <w:p w14:paraId="106F6A8B" w14:textId="77777777" w:rsidR="003F641A" w:rsidRPr="003F641A" w:rsidRDefault="003F641A" w:rsidP="003F641A">
      <w:pPr>
        <w:autoSpaceDE w:val="0"/>
        <w:autoSpaceDN w:val="0"/>
        <w:adjustRightInd w:val="0"/>
        <w:jc w:val="center"/>
        <w:rPr>
          <w:rFonts w:eastAsia="Calibri" w:cs="Times New Roman"/>
          <w:b/>
          <w:bCs/>
          <w:noProof/>
          <w:lang w:eastAsia="es-MX"/>
        </w:rPr>
      </w:pPr>
      <w:r w:rsidRPr="003F641A">
        <w:rPr>
          <w:rFonts w:ascii="Calibri" w:eastAsia="Calibri" w:hAnsi="Calibri" w:cs="Times New Roman"/>
          <w:iCs w:val="0"/>
          <w:noProof/>
          <w:sz w:val="22"/>
          <w:szCs w:val="22"/>
          <w:lang w:val="es-MX" w:eastAsia="es-MX"/>
        </w:rPr>
        <w:drawing>
          <wp:inline distT="0" distB="0" distL="0" distR="0" wp14:anchorId="0758D11B" wp14:editId="0774AF9F">
            <wp:extent cx="4298400" cy="4311321"/>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8400" cy="4311321"/>
                    </a:xfrm>
                    <a:prstGeom prst="rect">
                      <a:avLst/>
                    </a:prstGeom>
                    <a:noFill/>
                    <a:ln>
                      <a:noFill/>
                    </a:ln>
                  </pic:spPr>
                </pic:pic>
              </a:graphicData>
            </a:graphic>
          </wp:inline>
        </w:drawing>
      </w:r>
    </w:p>
    <w:p w14:paraId="1D56FE96" w14:textId="77777777" w:rsidR="003F641A" w:rsidRPr="003F641A" w:rsidRDefault="003F641A" w:rsidP="003F641A">
      <w:pPr>
        <w:autoSpaceDE w:val="0"/>
        <w:autoSpaceDN w:val="0"/>
        <w:adjustRightInd w:val="0"/>
        <w:jc w:val="both"/>
        <w:rPr>
          <w:rFonts w:eastAsia="Calibri" w:cs="Times New Roman"/>
          <w:b/>
          <w:bCs/>
          <w:noProof/>
          <w:lang w:eastAsia="es-MX"/>
        </w:rPr>
      </w:pPr>
    </w:p>
    <w:p w14:paraId="2D717ACA" w14:textId="77777777" w:rsidR="003F641A" w:rsidRPr="003F641A" w:rsidRDefault="003F641A" w:rsidP="003F641A">
      <w:pPr>
        <w:autoSpaceDE w:val="0"/>
        <w:autoSpaceDN w:val="0"/>
        <w:adjustRightInd w:val="0"/>
        <w:jc w:val="both"/>
        <w:rPr>
          <w:rFonts w:eastAsia="Calibri" w:cs="Times New Roman"/>
          <w:b/>
          <w:bCs/>
          <w:noProof/>
          <w:lang w:eastAsia="es-MX"/>
        </w:rPr>
      </w:pPr>
    </w:p>
    <w:p w14:paraId="579656A4"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Inversiones financieras a largo plazo</w:t>
      </w:r>
    </w:p>
    <w:p w14:paraId="3D86C1E5" w14:textId="77777777" w:rsidR="003F641A" w:rsidRPr="003F641A" w:rsidRDefault="003F641A" w:rsidP="003F641A">
      <w:pPr>
        <w:jc w:val="both"/>
        <w:rPr>
          <w:rFonts w:eastAsia="Calibri" w:cs="Times New Roman"/>
        </w:rPr>
      </w:pPr>
    </w:p>
    <w:p w14:paraId="75C952BE" w14:textId="77777777" w:rsidR="003F641A" w:rsidRPr="003F641A" w:rsidRDefault="003F641A" w:rsidP="003F641A">
      <w:pPr>
        <w:jc w:val="both"/>
        <w:rPr>
          <w:rFonts w:eastAsia="Calibri" w:cs="Times New Roman"/>
        </w:rPr>
      </w:pPr>
      <w:r w:rsidRPr="003F641A">
        <w:rPr>
          <w:rFonts w:eastAsia="Calibri" w:cs="Times New Roman"/>
        </w:rPr>
        <w:t>El monto al periodo que se informa en este rubro fue por 449.1 millones de pesos, mismo que representa el 1.1 % del activo no circulante; está integrado por los depósitos a largo plazo en fondos de inversión; así también, se encuentran los fideicomisos recuperables de las Entidades Paraestatales y Fideicomisos No Empresariales y No Financieros, orientados al mejoramiento de servicios educativos y sociales, así como a la prevención y reducción de riesgos en el Estado.</w:t>
      </w:r>
    </w:p>
    <w:p w14:paraId="6A592998" w14:textId="77777777" w:rsidR="003F641A" w:rsidRPr="003F641A" w:rsidRDefault="003F641A" w:rsidP="003F641A">
      <w:pPr>
        <w:jc w:val="both"/>
        <w:rPr>
          <w:rFonts w:eastAsia="Calibri" w:cs="Times New Roman"/>
        </w:rPr>
      </w:pPr>
    </w:p>
    <w:p w14:paraId="799D909F" w14:textId="77777777" w:rsidR="003F641A" w:rsidRPr="003F641A" w:rsidRDefault="003F641A" w:rsidP="003F641A">
      <w:pPr>
        <w:jc w:val="both"/>
        <w:rPr>
          <w:rFonts w:eastAsia="Calibri" w:cs="Times New Roman"/>
        </w:rPr>
      </w:pPr>
      <w:r w:rsidRPr="003F641A">
        <w:rPr>
          <w:rFonts w:eastAsia="Calibri" w:cs="Times New Roman"/>
        </w:rPr>
        <w:t>Destacándose los siguientes:</w:t>
      </w:r>
    </w:p>
    <w:p w14:paraId="2CC20CE3" w14:textId="77777777" w:rsidR="003F641A" w:rsidRPr="003F641A" w:rsidRDefault="003F641A" w:rsidP="003F641A">
      <w:pPr>
        <w:jc w:val="both"/>
        <w:rPr>
          <w:rFonts w:eastAsia="Calibri" w:cs="Times New Roman"/>
        </w:rPr>
      </w:pPr>
    </w:p>
    <w:p w14:paraId="2B753450" w14:textId="77777777" w:rsidR="003F641A" w:rsidRPr="003F641A" w:rsidRDefault="003F641A" w:rsidP="003F641A">
      <w:pPr>
        <w:numPr>
          <w:ilvl w:val="0"/>
          <w:numId w:val="1"/>
        </w:numPr>
        <w:spacing w:after="120"/>
        <w:ind w:left="357" w:hanging="357"/>
        <w:jc w:val="both"/>
        <w:rPr>
          <w:rFonts w:eastAsia="Calibri" w:cs="Times New Roman"/>
        </w:rPr>
      </w:pPr>
      <w:r w:rsidRPr="003F641A">
        <w:rPr>
          <w:rFonts w:eastAsia="Calibri" w:cs="Times New Roman"/>
        </w:rPr>
        <w:lastRenderedPageBreak/>
        <w:t>Programa del Mejoramiento del Profesorado (</w:t>
      </w:r>
      <w:proofErr w:type="spellStart"/>
      <w:r w:rsidRPr="003F641A">
        <w:rPr>
          <w:rFonts w:eastAsia="Calibri" w:cs="Times New Roman"/>
        </w:rPr>
        <w:t>Promep</w:t>
      </w:r>
      <w:proofErr w:type="spellEnd"/>
      <w:r w:rsidRPr="003F641A">
        <w:rPr>
          <w:rFonts w:eastAsia="Calibri" w:cs="Times New Roman"/>
        </w:rPr>
        <w:t xml:space="preserve">) </w:t>
      </w:r>
    </w:p>
    <w:p w14:paraId="4A649E5B" w14:textId="77777777" w:rsidR="003F641A" w:rsidRPr="003F641A" w:rsidRDefault="003F641A" w:rsidP="003F641A">
      <w:pPr>
        <w:numPr>
          <w:ilvl w:val="0"/>
          <w:numId w:val="1"/>
        </w:numPr>
        <w:spacing w:after="120"/>
        <w:ind w:left="357" w:hanging="357"/>
        <w:jc w:val="both"/>
        <w:rPr>
          <w:rFonts w:eastAsia="Calibri" w:cs="Times New Roman"/>
        </w:rPr>
      </w:pPr>
      <w:r w:rsidRPr="003F641A">
        <w:rPr>
          <w:rFonts w:eastAsia="Calibri" w:cs="Times New Roman"/>
        </w:rPr>
        <w:t>Fideicomiso Una Mano…Una Esperanza</w:t>
      </w:r>
    </w:p>
    <w:p w14:paraId="111BD2DE" w14:textId="77777777" w:rsidR="003F641A" w:rsidRPr="003F641A" w:rsidRDefault="003F641A" w:rsidP="003F641A">
      <w:pPr>
        <w:numPr>
          <w:ilvl w:val="0"/>
          <w:numId w:val="1"/>
        </w:numPr>
        <w:spacing w:after="120"/>
        <w:ind w:left="357" w:hanging="357"/>
        <w:jc w:val="both"/>
        <w:rPr>
          <w:rFonts w:eastAsia="Calibri" w:cs="Times New Roman"/>
        </w:rPr>
      </w:pPr>
      <w:r w:rsidRPr="003F641A">
        <w:rPr>
          <w:rFonts w:eastAsia="Calibri" w:cs="Times New Roman"/>
        </w:rPr>
        <w:t>Programa Escuelas al Cien</w:t>
      </w:r>
    </w:p>
    <w:p w14:paraId="73753EE6" w14:textId="77777777" w:rsidR="003F641A" w:rsidRPr="003F641A" w:rsidRDefault="003F641A" w:rsidP="003F641A">
      <w:pPr>
        <w:numPr>
          <w:ilvl w:val="0"/>
          <w:numId w:val="1"/>
        </w:numPr>
        <w:spacing w:after="120"/>
        <w:ind w:left="357" w:hanging="357"/>
        <w:jc w:val="both"/>
        <w:rPr>
          <w:rFonts w:eastAsia="Calibri" w:cs="Times New Roman"/>
        </w:rPr>
      </w:pPr>
      <w:r w:rsidRPr="003F641A">
        <w:rPr>
          <w:rFonts w:eastAsia="Calibri" w:cs="Times New Roman"/>
        </w:rPr>
        <w:t>Fondo para la Gestión Integral de Riesgos de Desastres (</w:t>
      </w:r>
      <w:proofErr w:type="spellStart"/>
      <w:r w:rsidRPr="003F641A">
        <w:rPr>
          <w:rFonts w:eastAsia="Calibri" w:cs="Times New Roman"/>
        </w:rPr>
        <w:t>Fogird</w:t>
      </w:r>
      <w:proofErr w:type="spellEnd"/>
      <w:r w:rsidRPr="003F641A">
        <w:rPr>
          <w:rFonts w:eastAsia="Calibri" w:cs="Times New Roman"/>
        </w:rPr>
        <w:t>)</w:t>
      </w:r>
    </w:p>
    <w:p w14:paraId="73FAFCDB" w14:textId="77777777" w:rsidR="003F641A" w:rsidRPr="003F641A" w:rsidRDefault="003F641A" w:rsidP="003F641A">
      <w:pPr>
        <w:jc w:val="both"/>
        <w:rPr>
          <w:rFonts w:eastAsia="Calibri" w:cs="Times New Roman"/>
        </w:rPr>
      </w:pPr>
    </w:p>
    <w:p w14:paraId="7EC34EC6" w14:textId="77777777" w:rsidR="003F641A" w:rsidRPr="003F641A" w:rsidRDefault="003F641A" w:rsidP="003F641A">
      <w:pPr>
        <w:tabs>
          <w:tab w:val="left" w:pos="1418"/>
        </w:tabs>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32092445" wp14:editId="23C14668">
            <wp:extent cx="4297045" cy="1330960"/>
            <wp:effectExtent l="0" t="0" r="8255"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7045" cy="1330960"/>
                    </a:xfrm>
                    <a:prstGeom prst="rect">
                      <a:avLst/>
                    </a:prstGeom>
                    <a:noFill/>
                    <a:ln>
                      <a:noFill/>
                    </a:ln>
                  </pic:spPr>
                </pic:pic>
              </a:graphicData>
            </a:graphic>
          </wp:inline>
        </w:drawing>
      </w:r>
    </w:p>
    <w:p w14:paraId="25B1ED74" w14:textId="77777777" w:rsidR="003F641A" w:rsidRPr="003F641A" w:rsidRDefault="003F641A" w:rsidP="003F641A">
      <w:pPr>
        <w:tabs>
          <w:tab w:val="left" w:pos="1418"/>
        </w:tabs>
        <w:jc w:val="both"/>
        <w:rPr>
          <w:rFonts w:eastAsia="Calibri" w:cs="Times New Roman"/>
        </w:rPr>
      </w:pPr>
    </w:p>
    <w:p w14:paraId="35EF47CB" w14:textId="77777777" w:rsidR="003F641A" w:rsidRPr="003F641A" w:rsidRDefault="003F641A" w:rsidP="003F641A">
      <w:pPr>
        <w:tabs>
          <w:tab w:val="left" w:pos="1418"/>
        </w:tabs>
        <w:jc w:val="both"/>
        <w:rPr>
          <w:rFonts w:eastAsia="Calibri" w:cs="Times New Roman"/>
        </w:rPr>
      </w:pPr>
    </w:p>
    <w:p w14:paraId="37A2099E"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Derechos a recibir efectivo o equivalentes a largo plazo</w:t>
      </w:r>
    </w:p>
    <w:p w14:paraId="5E57C831" w14:textId="77777777" w:rsidR="003F641A" w:rsidRPr="003F641A" w:rsidRDefault="003F641A" w:rsidP="003F641A">
      <w:pPr>
        <w:autoSpaceDE w:val="0"/>
        <w:autoSpaceDN w:val="0"/>
        <w:adjustRightInd w:val="0"/>
        <w:jc w:val="both"/>
        <w:rPr>
          <w:rFonts w:eastAsia="Calibri" w:cs="Times New Roman"/>
        </w:rPr>
      </w:pPr>
    </w:p>
    <w:p w14:paraId="68A7D8D0" w14:textId="77777777" w:rsidR="003F641A" w:rsidRPr="003F641A" w:rsidRDefault="003F641A" w:rsidP="003F641A">
      <w:pPr>
        <w:tabs>
          <w:tab w:val="left" w:pos="1418"/>
        </w:tabs>
        <w:autoSpaceDE w:val="0"/>
        <w:autoSpaceDN w:val="0"/>
        <w:adjustRightInd w:val="0"/>
        <w:jc w:val="both"/>
        <w:rPr>
          <w:rFonts w:eastAsia="Calibri" w:cs="Times New Roman"/>
        </w:rPr>
      </w:pPr>
      <w:r w:rsidRPr="003F641A">
        <w:rPr>
          <w:rFonts w:eastAsia="Calibri" w:cs="Times New Roman"/>
        </w:rPr>
        <w:t>Este rubro del activo del 1 de enero al 31 de diciembre de 2023 refleja 993.8 millones de pesos el cual representa 2.3 % del activo no circulante y se compone de los gastos a comprobar pendientes de ser regularizados, los ingresos por recuperar, las ministraciones por depositar, recursos de fideicomisos, cargos bancarios por aclarar, así como préstamos a funcionarios, préstamos otorgados al personal administrativo, confianza y docentes del sector educativo, subsidio al empleo, deudores por responsabilidades y sujetos a resolución judicial por concepto de manejo de valores y bienes inventariables. Además, se incluyen a los deudores por financiamientos derivado de proyectos de vivienda desarrollados por la Promotora de Vivienda Chiapas.</w:t>
      </w:r>
    </w:p>
    <w:p w14:paraId="0A359BAD" w14:textId="77777777" w:rsidR="003F641A" w:rsidRPr="003F641A" w:rsidRDefault="003F641A" w:rsidP="003F641A">
      <w:pPr>
        <w:tabs>
          <w:tab w:val="left" w:pos="1418"/>
        </w:tabs>
        <w:autoSpaceDE w:val="0"/>
        <w:autoSpaceDN w:val="0"/>
        <w:adjustRightInd w:val="0"/>
        <w:jc w:val="both"/>
        <w:rPr>
          <w:rFonts w:eastAsia="Calibri" w:cs="Times New Roman"/>
        </w:rPr>
      </w:pPr>
    </w:p>
    <w:p w14:paraId="45A1F5D8" w14:textId="77777777" w:rsidR="003F641A" w:rsidRPr="003F641A" w:rsidRDefault="003F641A" w:rsidP="003F641A">
      <w:pPr>
        <w:tabs>
          <w:tab w:val="left" w:pos="1418"/>
        </w:tabs>
        <w:autoSpaceDE w:val="0"/>
        <w:autoSpaceDN w:val="0"/>
        <w:adjustRightInd w:val="0"/>
        <w:jc w:val="both"/>
        <w:rPr>
          <w:rFonts w:eastAsia="Calibri" w:cs="Times New Roman"/>
        </w:rPr>
      </w:pPr>
      <w:r w:rsidRPr="003F641A">
        <w:rPr>
          <w:rFonts w:eastAsia="Calibri" w:cs="Times New Roman"/>
        </w:rPr>
        <w:t>De igual manera, este rubro se integra por los rendimientos federales transferidos del Régimen Estatal de Protección Social en Salud (REPSS) derivado de la fusión de este mismo al Instituto de Salud y por las devoluciones de descuentos de INFONAVIT, IMSS.</w:t>
      </w:r>
    </w:p>
    <w:p w14:paraId="71612992" w14:textId="77777777" w:rsidR="003F641A" w:rsidRPr="003F641A" w:rsidRDefault="003F641A" w:rsidP="003F641A">
      <w:pPr>
        <w:tabs>
          <w:tab w:val="left" w:pos="1418"/>
        </w:tabs>
        <w:autoSpaceDE w:val="0"/>
        <w:autoSpaceDN w:val="0"/>
        <w:adjustRightInd w:val="0"/>
        <w:jc w:val="both"/>
        <w:rPr>
          <w:rFonts w:eastAsia="Calibri" w:cs="Times New Roman"/>
        </w:rPr>
      </w:pPr>
    </w:p>
    <w:p w14:paraId="3784B888" w14:textId="77777777" w:rsidR="003F641A" w:rsidRPr="003F641A" w:rsidRDefault="003F641A" w:rsidP="003F641A">
      <w:pPr>
        <w:tabs>
          <w:tab w:val="left" w:pos="1418"/>
        </w:tabs>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48B6C75E" wp14:editId="270B34D8">
            <wp:extent cx="4297045" cy="1903095"/>
            <wp:effectExtent l="0" t="0" r="8255"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045" cy="1903095"/>
                    </a:xfrm>
                    <a:prstGeom prst="rect">
                      <a:avLst/>
                    </a:prstGeom>
                    <a:noFill/>
                    <a:ln>
                      <a:noFill/>
                    </a:ln>
                  </pic:spPr>
                </pic:pic>
              </a:graphicData>
            </a:graphic>
          </wp:inline>
        </w:drawing>
      </w:r>
    </w:p>
    <w:p w14:paraId="79A801DC" w14:textId="2282155F" w:rsidR="003F641A" w:rsidRDefault="003F641A" w:rsidP="003F641A">
      <w:pPr>
        <w:tabs>
          <w:tab w:val="left" w:pos="1418"/>
        </w:tabs>
        <w:autoSpaceDE w:val="0"/>
        <w:autoSpaceDN w:val="0"/>
        <w:adjustRightInd w:val="0"/>
        <w:jc w:val="both"/>
        <w:rPr>
          <w:rFonts w:eastAsia="Calibri" w:cs="Times New Roman"/>
        </w:rPr>
      </w:pPr>
    </w:p>
    <w:p w14:paraId="737A903C" w14:textId="77777777" w:rsidR="003F641A" w:rsidRPr="003F641A" w:rsidRDefault="003F641A" w:rsidP="003F641A">
      <w:pPr>
        <w:tabs>
          <w:tab w:val="left" w:pos="1418"/>
        </w:tabs>
        <w:autoSpaceDE w:val="0"/>
        <w:autoSpaceDN w:val="0"/>
        <w:adjustRightInd w:val="0"/>
        <w:jc w:val="both"/>
        <w:rPr>
          <w:rFonts w:eastAsia="Calibri" w:cs="Times New Roman"/>
        </w:rPr>
      </w:pPr>
    </w:p>
    <w:p w14:paraId="3D5C4790"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Bienes inmuebles, infraestructura y construcciones en proceso</w:t>
      </w:r>
    </w:p>
    <w:p w14:paraId="183235DC" w14:textId="77777777" w:rsidR="003F641A" w:rsidRPr="003F641A" w:rsidRDefault="003F641A" w:rsidP="003F641A">
      <w:pPr>
        <w:jc w:val="both"/>
        <w:rPr>
          <w:rFonts w:eastAsia="Calibri" w:cs="Times New Roman"/>
        </w:rPr>
      </w:pPr>
    </w:p>
    <w:p w14:paraId="5948E487" w14:textId="77777777" w:rsidR="003F641A" w:rsidRPr="003F641A" w:rsidRDefault="003F641A" w:rsidP="003F641A">
      <w:pPr>
        <w:jc w:val="both"/>
        <w:rPr>
          <w:rFonts w:eastAsia="Calibri" w:cs="Times New Roman"/>
          <w:b/>
          <w:bCs/>
          <w:i/>
          <w:iCs w:val="0"/>
        </w:rPr>
      </w:pPr>
      <w:r w:rsidRPr="003F641A">
        <w:rPr>
          <w:rFonts w:eastAsia="Calibri" w:cs="Times New Roman"/>
        </w:rPr>
        <w:t>Al 31 de diciembre de 2023 este rubro del activo refleja la cifra de 26 mil 362.5 millones de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14:paraId="5C74044E" w14:textId="77777777" w:rsidR="003F641A" w:rsidRPr="003F641A" w:rsidRDefault="003F641A" w:rsidP="003F641A">
      <w:pPr>
        <w:jc w:val="both"/>
        <w:rPr>
          <w:rFonts w:eastAsia="Calibri" w:cs="Times New Roman"/>
        </w:rPr>
      </w:pPr>
    </w:p>
    <w:p w14:paraId="69D60870" w14:textId="77777777" w:rsidR="003F641A" w:rsidRPr="003F641A" w:rsidRDefault="003F641A" w:rsidP="003F641A">
      <w:pPr>
        <w:jc w:val="both"/>
        <w:rPr>
          <w:rFonts w:eastAsia="Calibri" w:cs="Times New Roman"/>
        </w:rPr>
      </w:pPr>
      <w:r w:rsidRPr="003F641A">
        <w:rPr>
          <w:rFonts w:eastAsia="Calibri" w:cs="Times New Roman"/>
        </w:rPr>
        <w:t xml:space="preserve">Entre estas obras se destaca la construcción de: aulas, espacios deportivos, centros culturales, viviendas de interés social; construcción y rehabilitación de hospitales y centros de salud </w:t>
      </w:r>
      <w:proofErr w:type="spellStart"/>
      <w:r w:rsidRPr="003F641A">
        <w:rPr>
          <w:rFonts w:eastAsia="Calibri" w:cs="Times New Roman"/>
        </w:rPr>
        <w:t>microrregionales</w:t>
      </w:r>
      <w:proofErr w:type="spellEnd"/>
      <w:r w:rsidRPr="003F641A">
        <w:rPr>
          <w:rFonts w:eastAsia="Calibri" w:cs="Times New Roman"/>
        </w:rPr>
        <w:t>, y el mejoramiento de edificios públicos en distintos municipios del Estado.</w:t>
      </w:r>
    </w:p>
    <w:p w14:paraId="530EA44D" w14:textId="77777777" w:rsidR="003F641A" w:rsidRPr="003F641A" w:rsidRDefault="003F641A" w:rsidP="003F641A">
      <w:pPr>
        <w:jc w:val="both"/>
        <w:rPr>
          <w:rFonts w:eastAsia="Calibri" w:cs="Times New Roman"/>
        </w:rPr>
      </w:pPr>
    </w:p>
    <w:p w14:paraId="73C20239" w14:textId="77777777" w:rsidR="003F641A" w:rsidRPr="003F641A" w:rsidRDefault="003F641A" w:rsidP="003F641A">
      <w:pPr>
        <w:jc w:val="both"/>
        <w:rPr>
          <w:rFonts w:eastAsia="Calibri" w:cs="Times New Roman"/>
        </w:rPr>
      </w:pPr>
      <w:r w:rsidRPr="003F641A">
        <w:rPr>
          <w:rFonts w:eastAsia="Calibri" w:cs="Times New Roman"/>
        </w:rPr>
        <w:lastRenderedPageBreak/>
        <w:t>Cabe mencionar que este rubro también se compone de instalaciones y equipamiento de aulas con estructuras prefabricadas, realizadas en diversos municipios del Estado. Además, se incluyen diversos predios destinados a parques y panteones.</w:t>
      </w:r>
    </w:p>
    <w:p w14:paraId="74DC4641" w14:textId="77777777" w:rsidR="003F641A" w:rsidRPr="003F641A" w:rsidRDefault="003F641A" w:rsidP="003F641A">
      <w:pPr>
        <w:jc w:val="both"/>
        <w:rPr>
          <w:rFonts w:eastAsia="Calibri" w:cs="Times New Roman"/>
        </w:rPr>
      </w:pPr>
    </w:p>
    <w:p w14:paraId="41802E10" w14:textId="77777777" w:rsidR="003F641A" w:rsidRPr="003F641A" w:rsidRDefault="003F641A" w:rsidP="003F641A">
      <w:pPr>
        <w:jc w:val="both"/>
        <w:rPr>
          <w:rFonts w:eastAsia="Calibri" w:cs="Times New Roman"/>
        </w:rPr>
      </w:pPr>
      <w:r w:rsidRPr="003F641A">
        <w:rPr>
          <w:rFonts w:eastAsia="Calibri" w:cs="Times New Roman"/>
        </w:rPr>
        <w:t>Del total del activo no circulante este rubro representa el 60.9 %</w:t>
      </w:r>
    </w:p>
    <w:p w14:paraId="6D73FECA" w14:textId="77777777" w:rsidR="003F641A" w:rsidRPr="003F641A" w:rsidRDefault="003F641A" w:rsidP="003F641A">
      <w:pPr>
        <w:jc w:val="both"/>
        <w:rPr>
          <w:rFonts w:eastAsia="Calibri" w:cs="Times New Roman"/>
        </w:rPr>
      </w:pPr>
    </w:p>
    <w:p w14:paraId="16028991" w14:textId="77777777" w:rsidR="003F641A" w:rsidRPr="003F641A" w:rsidRDefault="003F641A" w:rsidP="003F641A">
      <w:pPr>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73F7182F" wp14:editId="6967BB7B">
            <wp:extent cx="4297045" cy="2416175"/>
            <wp:effectExtent l="0" t="0" r="8255" b="317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97045" cy="2416175"/>
                    </a:xfrm>
                    <a:prstGeom prst="rect">
                      <a:avLst/>
                    </a:prstGeom>
                    <a:noFill/>
                    <a:ln>
                      <a:noFill/>
                    </a:ln>
                  </pic:spPr>
                </pic:pic>
              </a:graphicData>
            </a:graphic>
          </wp:inline>
        </w:drawing>
      </w:r>
    </w:p>
    <w:p w14:paraId="7A642EA7"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705EB899"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7CDCB034"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Bienes muebles</w:t>
      </w:r>
    </w:p>
    <w:p w14:paraId="3960A703"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4BF3FC20" w14:textId="77777777" w:rsidR="003F641A" w:rsidRPr="003F641A" w:rsidRDefault="003F641A" w:rsidP="003F641A">
      <w:pPr>
        <w:tabs>
          <w:tab w:val="left" w:pos="1418"/>
        </w:tabs>
        <w:autoSpaceDE w:val="0"/>
        <w:autoSpaceDN w:val="0"/>
        <w:adjustRightInd w:val="0"/>
        <w:jc w:val="both"/>
        <w:rPr>
          <w:rFonts w:eastAsia="Calibri" w:cs="Times New Roman"/>
        </w:rPr>
      </w:pPr>
      <w:r w:rsidRPr="003F641A">
        <w:rPr>
          <w:rFonts w:eastAsia="Calibri" w:cs="Times New Roman"/>
        </w:rPr>
        <w:t>Este rubro del activo refleja el valor de los bienes muebles que poseen las Entidades Paraestatales y Fideicomisos No Empresariales y No Financieros y que al 31 de diciembre de 2023, asciende a un monto global de 4 mil 346.8 millones de pesos y representa el 10 %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las diferentes entidades.</w:t>
      </w:r>
    </w:p>
    <w:p w14:paraId="6A1C2FE3" w14:textId="77777777" w:rsidR="003F641A" w:rsidRPr="003F641A" w:rsidRDefault="003F641A" w:rsidP="003F641A">
      <w:pPr>
        <w:tabs>
          <w:tab w:val="left" w:pos="1418"/>
        </w:tabs>
        <w:autoSpaceDE w:val="0"/>
        <w:autoSpaceDN w:val="0"/>
        <w:adjustRightInd w:val="0"/>
        <w:jc w:val="both"/>
        <w:rPr>
          <w:rFonts w:eastAsia="Calibri" w:cs="Times New Roman"/>
        </w:rPr>
      </w:pPr>
    </w:p>
    <w:p w14:paraId="5666169E" w14:textId="77777777" w:rsidR="003F641A" w:rsidRPr="003F641A" w:rsidRDefault="003F641A" w:rsidP="003F641A">
      <w:pPr>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4B9059FD" wp14:editId="7BD925DC">
            <wp:extent cx="4297045" cy="2877185"/>
            <wp:effectExtent l="0" t="0" r="825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7045" cy="2877185"/>
                    </a:xfrm>
                    <a:prstGeom prst="rect">
                      <a:avLst/>
                    </a:prstGeom>
                    <a:noFill/>
                    <a:ln>
                      <a:noFill/>
                    </a:ln>
                  </pic:spPr>
                </pic:pic>
              </a:graphicData>
            </a:graphic>
          </wp:inline>
        </w:drawing>
      </w:r>
    </w:p>
    <w:p w14:paraId="257E8E9B" w14:textId="77777777" w:rsidR="003F641A" w:rsidRPr="003F641A" w:rsidRDefault="003F641A" w:rsidP="003F641A">
      <w:pPr>
        <w:jc w:val="both"/>
        <w:rPr>
          <w:rFonts w:eastAsia="Calibri" w:cs="Times New Roman"/>
        </w:rPr>
      </w:pPr>
    </w:p>
    <w:p w14:paraId="033196AC" w14:textId="3FFC4CE0" w:rsidR="003F641A" w:rsidRDefault="003F641A" w:rsidP="003F641A">
      <w:pPr>
        <w:jc w:val="both"/>
        <w:rPr>
          <w:rFonts w:eastAsia="Calibri" w:cs="Times New Roman"/>
        </w:rPr>
      </w:pPr>
    </w:p>
    <w:p w14:paraId="4D1E099C" w14:textId="14639684" w:rsidR="003F641A" w:rsidRDefault="003F641A" w:rsidP="003F641A">
      <w:pPr>
        <w:jc w:val="both"/>
        <w:rPr>
          <w:rFonts w:eastAsia="Calibri" w:cs="Times New Roman"/>
        </w:rPr>
      </w:pPr>
    </w:p>
    <w:p w14:paraId="4B920E8F" w14:textId="3D455E2A" w:rsidR="003F641A" w:rsidRDefault="003F641A" w:rsidP="003F641A">
      <w:pPr>
        <w:jc w:val="both"/>
        <w:rPr>
          <w:rFonts w:eastAsia="Calibri" w:cs="Times New Roman"/>
        </w:rPr>
      </w:pPr>
    </w:p>
    <w:p w14:paraId="293A3F69" w14:textId="77777777" w:rsidR="003F641A" w:rsidRPr="003F641A" w:rsidRDefault="003F641A" w:rsidP="003F641A">
      <w:pPr>
        <w:jc w:val="both"/>
        <w:rPr>
          <w:rFonts w:eastAsia="Calibri" w:cs="Times New Roman"/>
        </w:rPr>
      </w:pPr>
    </w:p>
    <w:p w14:paraId="206DE71A"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lastRenderedPageBreak/>
        <w:t>Activos intangibles</w:t>
      </w:r>
    </w:p>
    <w:p w14:paraId="3347A724"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5EE3E0A0"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 xml:space="preserve">Al 31 de diciembre de 2023, este rubro asciende a 50.8 millones de pesos y representa el valor de todos los bienes intangibles que poseen las Entidades Paraestatales y Fideicomisos No Empresariales y No Financieros como son: software, patentes, marcas, derechos, licencias y otros activos intangibles los cuales son necesarios para la operatividad y funcionamiento de las áreas administrativas de las entidades que la conforma. </w:t>
      </w:r>
    </w:p>
    <w:p w14:paraId="672D3E14" w14:textId="77777777" w:rsidR="003F641A" w:rsidRPr="003F641A" w:rsidRDefault="003F641A" w:rsidP="003F641A">
      <w:pPr>
        <w:autoSpaceDE w:val="0"/>
        <w:autoSpaceDN w:val="0"/>
        <w:adjustRightInd w:val="0"/>
        <w:jc w:val="both"/>
        <w:rPr>
          <w:rFonts w:eastAsia="Calibri" w:cs="Times New Roman"/>
        </w:rPr>
      </w:pPr>
    </w:p>
    <w:p w14:paraId="4DB36AF1"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Representa el 0.1 % del activo no circulante.</w:t>
      </w:r>
    </w:p>
    <w:p w14:paraId="771A8C0B" w14:textId="77777777" w:rsidR="003F641A" w:rsidRPr="003F641A" w:rsidRDefault="003F641A" w:rsidP="003F641A">
      <w:pPr>
        <w:autoSpaceDE w:val="0"/>
        <w:autoSpaceDN w:val="0"/>
        <w:adjustRightInd w:val="0"/>
        <w:jc w:val="both"/>
        <w:rPr>
          <w:rFonts w:eastAsia="Calibri" w:cs="Times New Roman"/>
        </w:rPr>
      </w:pPr>
    </w:p>
    <w:p w14:paraId="507B82CC" w14:textId="77777777" w:rsidR="003F641A" w:rsidRPr="003F641A" w:rsidRDefault="003F641A" w:rsidP="003F641A">
      <w:pPr>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548E58CA" wp14:editId="73F11E90">
            <wp:extent cx="4297045" cy="1583690"/>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7045" cy="1583690"/>
                    </a:xfrm>
                    <a:prstGeom prst="rect">
                      <a:avLst/>
                    </a:prstGeom>
                    <a:noFill/>
                    <a:ln>
                      <a:noFill/>
                    </a:ln>
                  </pic:spPr>
                </pic:pic>
              </a:graphicData>
            </a:graphic>
          </wp:inline>
        </w:drawing>
      </w:r>
    </w:p>
    <w:p w14:paraId="2D55AF3E" w14:textId="77777777" w:rsidR="003F641A" w:rsidRPr="003F641A" w:rsidRDefault="003F641A" w:rsidP="003F641A">
      <w:pPr>
        <w:autoSpaceDE w:val="0"/>
        <w:autoSpaceDN w:val="0"/>
        <w:adjustRightInd w:val="0"/>
        <w:jc w:val="both"/>
        <w:outlineLvl w:val="0"/>
        <w:rPr>
          <w:rFonts w:eastAsia="Calibri" w:cs="Times New Roman"/>
          <w:b/>
          <w:bCs/>
          <w:i/>
          <w:iCs w:val="0"/>
        </w:rPr>
      </w:pPr>
    </w:p>
    <w:p w14:paraId="4B309CEA"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23008A1C"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Depreciación, deterioro y amortización acumulada de bienes</w:t>
      </w:r>
    </w:p>
    <w:p w14:paraId="66BF2A7D"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4ECDE0D7" w14:textId="77777777" w:rsidR="003F641A" w:rsidRPr="003F641A" w:rsidRDefault="003F641A" w:rsidP="003F641A">
      <w:pPr>
        <w:tabs>
          <w:tab w:val="left" w:pos="1418"/>
        </w:tabs>
        <w:autoSpaceDE w:val="0"/>
        <w:autoSpaceDN w:val="0"/>
        <w:adjustRightInd w:val="0"/>
        <w:jc w:val="both"/>
        <w:rPr>
          <w:rFonts w:eastAsia="Calibri" w:cs="Times New Roman"/>
        </w:rPr>
      </w:pPr>
      <w:r w:rsidRPr="003F641A">
        <w:rPr>
          <w:rFonts w:eastAsia="Calibri" w:cs="Times New Roman"/>
        </w:rPr>
        <w:t>Este rubro refleja una cifra negativa de 957.8 millones de pesos, el cual representa una disminución del 2.2 % del activo no circulante; se integra por la depreciación a los bienes muebles e inmuebles, así como, de la amortización de los activos intangibles de las Entidades Paraestatales y Fideicomisos No Empresariales y No Financieros; aplicándose las tasas establecidas para tal efecto en la Ley del Impuesto sobre la Renta y el procedimiento establecido por el Consejo Nacional de Armonización Contable (CONAC), aplicados por los entes públicos en el ejercicio 2023.</w:t>
      </w:r>
    </w:p>
    <w:p w14:paraId="4B37735E" w14:textId="77777777" w:rsidR="003F641A" w:rsidRPr="003F641A" w:rsidRDefault="003F641A" w:rsidP="003F641A">
      <w:pPr>
        <w:tabs>
          <w:tab w:val="left" w:pos="1418"/>
        </w:tabs>
        <w:autoSpaceDE w:val="0"/>
        <w:autoSpaceDN w:val="0"/>
        <w:adjustRightInd w:val="0"/>
        <w:jc w:val="both"/>
        <w:rPr>
          <w:rFonts w:eastAsia="Calibri" w:cs="Times New Roman"/>
        </w:rPr>
      </w:pPr>
    </w:p>
    <w:p w14:paraId="2951C021" w14:textId="77777777" w:rsidR="003F641A" w:rsidRPr="003F641A" w:rsidRDefault="003F641A" w:rsidP="003F641A">
      <w:pPr>
        <w:tabs>
          <w:tab w:val="left" w:pos="1418"/>
        </w:tabs>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042E6AB5" wp14:editId="03C066EB">
            <wp:extent cx="4297045" cy="198501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7045" cy="1985010"/>
                    </a:xfrm>
                    <a:prstGeom prst="rect">
                      <a:avLst/>
                    </a:prstGeom>
                    <a:noFill/>
                    <a:ln>
                      <a:noFill/>
                    </a:ln>
                  </pic:spPr>
                </pic:pic>
              </a:graphicData>
            </a:graphic>
          </wp:inline>
        </w:drawing>
      </w:r>
    </w:p>
    <w:p w14:paraId="404489CE" w14:textId="77777777" w:rsidR="003F641A" w:rsidRPr="003F641A" w:rsidRDefault="003F641A" w:rsidP="003F641A">
      <w:pPr>
        <w:autoSpaceDE w:val="0"/>
        <w:autoSpaceDN w:val="0"/>
        <w:adjustRightInd w:val="0"/>
        <w:jc w:val="both"/>
        <w:outlineLvl w:val="0"/>
        <w:rPr>
          <w:rFonts w:eastAsia="Calibri" w:cs="Times New Roman"/>
          <w:b/>
          <w:bCs/>
          <w:i/>
          <w:iCs w:val="0"/>
        </w:rPr>
      </w:pPr>
    </w:p>
    <w:p w14:paraId="2067792E" w14:textId="77777777" w:rsidR="003F641A" w:rsidRPr="003F641A" w:rsidRDefault="003F641A" w:rsidP="003F641A">
      <w:pPr>
        <w:autoSpaceDE w:val="0"/>
        <w:autoSpaceDN w:val="0"/>
        <w:adjustRightInd w:val="0"/>
        <w:jc w:val="both"/>
        <w:outlineLvl w:val="0"/>
        <w:rPr>
          <w:rFonts w:eastAsia="Calibri" w:cs="Times New Roman"/>
          <w:b/>
          <w:bCs/>
          <w:i/>
          <w:iCs w:val="0"/>
        </w:rPr>
      </w:pPr>
    </w:p>
    <w:p w14:paraId="3CA0AF48"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Activos diferidos</w:t>
      </w:r>
    </w:p>
    <w:p w14:paraId="7B712143" w14:textId="77777777" w:rsidR="003F641A" w:rsidRPr="003F641A" w:rsidRDefault="003F641A" w:rsidP="003F641A">
      <w:pPr>
        <w:jc w:val="both"/>
        <w:rPr>
          <w:rFonts w:eastAsia="Calibri" w:cs="Times New Roman"/>
        </w:rPr>
      </w:pPr>
    </w:p>
    <w:p w14:paraId="3E160BD0" w14:textId="77777777" w:rsidR="003F641A" w:rsidRPr="003F641A" w:rsidRDefault="003F641A" w:rsidP="003F641A">
      <w:pPr>
        <w:jc w:val="both"/>
        <w:rPr>
          <w:rFonts w:eastAsia="Calibri" w:cs="Times New Roman"/>
        </w:rPr>
      </w:pPr>
      <w:r w:rsidRPr="003F641A">
        <w:rPr>
          <w:rFonts w:eastAsia="Calibri" w:cs="Times New Roman"/>
        </w:rPr>
        <w:t>El saldo de este rubro asciende a 11 mil 526.1 millones de pesos y se integra por: estudios, formulación y evaluación de proyectos con 1.8 millones de pesos, los anticipos otorgados a proveedores por la adquisición de bienes y prestación de servicios, asimismo, por los anticipos a contratistas de obras, con 257.6 millones de pesos; así como, operaciones transitorias por regularizar por 11 mil 266.7 millones integradas por: 9 mil 995.5 millones de pesos correspondientes a recursos de años anteriores y 1 mil 271.2 millones de pesos por recursos del periodo que se informa.</w:t>
      </w:r>
    </w:p>
    <w:p w14:paraId="6ED009CB" w14:textId="77777777" w:rsidR="003F641A" w:rsidRPr="003F641A" w:rsidRDefault="003F641A" w:rsidP="003F641A">
      <w:pPr>
        <w:jc w:val="both"/>
        <w:rPr>
          <w:rFonts w:eastAsia="Calibri" w:cs="Times New Roman"/>
        </w:rPr>
      </w:pPr>
    </w:p>
    <w:p w14:paraId="3E14ABC7"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Al 31 de diciembre de 2023, este rubro representa el 26.6 % respecto al total del activo no circulante.</w:t>
      </w:r>
    </w:p>
    <w:p w14:paraId="3A0ED506" w14:textId="77777777" w:rsidR="003F641A" w:rsidRPr="003F641A" w:rsidRDefault="003F641A" w:rsidP="003F641A">
      <w:pPr>
        <w:autoSpaceDE w:val="0"/>
        <w:autoSpaceDN w:val="0"/>
        <w:adjustRightInd w:val="0"/>
        <w:jc w:val="both"/>
        <w:rPr>
          <w:rFonts w:eastAsia="Calibri" w:cs="Times New Roman"/>
        </w:rPr>
      </w:pPr>
    </w:p>
    <w:p w14:paraId="660F17F3" w14:textId="77777777" w:rsidR="003F641A" w:rsidRPr="003F641A" w:rsidRDefault="003F641A" w:rsidP="003F641A">
      <w:pPr>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lastRenderedPageBreak/>
        <w:drawing>
          <wp:inline distT="0" distB="0" distL="0" distR="0" wp14:anchorId="0738EB97" wp14:editId="2DB2A565">
            <wp:extent cx="4297045" cy="1524000"/>
            <wp:effectExtent l="0" t="0" r="825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7045" cy="1524000"/>
                    </a:xfrm>
                    <a:prstGeom prst="rect">
                      <a:avLst/>
                    </a:prstGeom>
                    <a:noFill/>
                    <a:ln>
                      <a:noFill/>
                    </a:ln>
                  </pic:spPr>
                </pic:pic>
              </a:graphicData>
            </a:graphic>
          </wp:inline>
        </w:drawing>
      </w:r>
    </w:p>
    <w:p w14:paraId="6C16BE22" w14:textId="77777777" w:rsidR="003F641A" w:rsidRPr="003F641A" w:rsidRDefault="003F641A" w:rsidP="003F641A">
      <w:pPr>
        <w:jc w:val="both"/>
        <w:rPr>
          <w:rFonts w:eastAsia="Calibri" w:cs="Times New Roman"/>
        </w:rPr>
      </w:pPr>
    </w:p>
    <w:p w14:paraId="3F891E08" w14:textId="77777777" w:rsidR="003F641A" w:rsidRPr="003F641A" w:rsidRDefault="003F641A" w:rsidP="003F641A">
      <w:pPr>
        <w:jc w:val="both"/>
        <w:rPr>
          <w:rFonts w:eastAsia="Calibri" w:cs="Times New Roman"/>
        </w:rPr>
      </w:pPr>
    </w:p>
    <w:p w14:paraId="0A51E02B"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Otros activos no circulantes</w:t>
      </w:r>
    </w:p>
    <w:p w14:paraId="02117B23"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73AD92F4"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 xml:space="preserve">Los otros activos no circulantes, reflejan el valor de los bienes muebles e inmuebles de los entes públicos, que se encuentran bajo contrato de comodato, estos bienes se otorgan entre entes públicos de las Entidades Paraestatales y Fideicomisos No Empresariales y No Financieros. </w:t>
      </w:r>
    </w:p>
    <w:p w14:paraId="64EB7F0C" w14:textId="77777777" w:rsidR="003F641A" w:rsidRPr="003F641A" w:rsidRDefault="003F641A" w:rsidP="003F641A">
      <w:pPr>
        <w:autoSpaceDE w:val="0"/>
        <w:autoSpaceDN w:val="0"/>
        <w:adjustRightInd w:val="0"/>
        <w:jc w:val="both"/>
        <w:rPr>
          <w:rFonts w:eastAsia="Calibri" w:cs="Times New Roman"/>
        </w:rPr>
      </w:pPr>
    </w:p>
    <w:p w14:paraId="3975C933"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Al 31 de diciembre de 2023 el saldo de este rubro asciende a 534.5 millones de pesos y representa el 1.2 % respecto al total del activo no circulante.</w:t>
      </w:r>
    </w:p>
    <w:p w14:paraId="76B47B32" w14:textId="77777777" w:rsidR="003F641A" w:rsidRPr="003F641A" w:rsidRDefault="003F641A" w:rsidP="003F641A">
      <w:pPr>
        <w:autoSpaceDE w:val="0"/>
        <w:autoSpaceDN w:val="0"/>
        <w:adjustRightInd w:val="0"/>
        <w:jc w:val="both"/>
        <w:rPr>
          <w:rFonts w:eastAsia="Calibri" w:cs="Times New Roman"/>
        </w:rPr>
      </w:pPr>
    </w:p>
    <w:p w14:paraId="04E72CEC" w14:textId="77777777" w:rsidR="003F641A" w:rsidRPr="003F641A" w:rsidRDefault="003F641A" w:rsidP="003F641A">
      <w:pPr>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397FED9B" wp14:editId="7BCB2BF2">
            <wp:extent cx="4297045" cy="1010920"/>
            <wp:effectExtent l="0" t="0" r="825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7045" cy="1010920"/>
                    </a:xfrm>
                    <a:prstGeom prst="rect">
                      <a:avLst/>
                    </a:prstGeom>
                    <a:noFill/>
                    <a:ln>
                      <a:noFill/>
                    </a:ln>
                  </pic:spPr>
                </pic:pic>
              </a:graphicData>
            </a:graphic>
          </wp:inline>
        </w:drawing>
      </w:r>
    </w:p>
    <w:p w14:paraId="33B301AC" w14:textId="3A9F63EE" w:rsidR="003F641A" w:rsidRDefault="003F641A" w:rsidP="003F641A">
      <w:pPr>
        <w:jc w:val="both"/>
        <w:rPr>
          <w:rFonts w:eastAsia="Calibri"/>
          <w:b/>
          <w:bCs/>
          <w:iCs w:val="0"/>
        </w:rPr>
      </w:pPr>
      <w:bookmarkStart w:id="4" w:name="_Hlk125467269"/>
    </w:p>
    <w:p w14:paraId="0FC97190" w14:textId="77777777" w:rsidR="003F641A" w:rsidRPr="003F641A" w:rsidRDefault="003F641A" w:rsidP="003F641A">
      <w:pPr>
        <w:jc w:val="both"/>
        <w:rPr>
          <w:rFonts w:eastAsia="Calibri"/>
          <w:b/>
          <w:bCs/>
          <w:iCs w:val="0"/>
        </w:rPr>
      </w:pPr>
    </w:p>
    <w:p w14:paraId="3119171D" w14:textId="77777777" w:rsidR="003F641A" w:rsidRPr="003F641A" w:rsidRDefault="003F641A" w:rsidP="003F641A">
      <w:pPr>
        <w:jc w:val="both"/>
        <w:rPr>
          <w:rFonts w:eastAsia="Calibri"/>
          <w:b/>
          <w:bCs/>
          <w:iCs w:val="0"/>
        </w:rPr>
      </w:pPr>
      <w:r w:rsidRPr="003F641A">
        <w:rPr>
          <w:rFonts w:eastAsia="Calibri"/>
          <w:b/>
          <w:bCs/>
          <w:iCs w:val="0"/>
        </w:rPr>
        <w:t>Pasivo</w:t>
      </w:r>
    </w:p>
    <w:p w14:paraId="2A986E81" w14:textId="77777777" w:rsidR="003F641A" w:rsidRPr="003F641A" w:rsidRDefault="003F641A" w:rsidP="003F641A">
      <w:pPr>
        <w:autoSpaceDE w:val="0"/>
        <w:autoSpaceDN w:val="0"/>
        <w:adjustRightInd w:val="0"/>
        <w:jc w:val="both"/>
        <w:rPr>
          <w:b/>
          <w:bCs/>
        </w:rPr>
      </w:pPr>
    </w:p>
    <w:bookmarkEnd w:id="4"/>
    <w:p w14:paraId="34D422D5"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Es el conjunto de cuentas que permiten el registro de las obligaciones contraídas por los entes públicos, para el desarrollo de sus funciones y la prestación de los servicios públicos. Al 31 de diciembre de 2023,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4949024C" w14:textId="77777777" w:rsidR="003F641A" w:rsidRPr="003F641A" w:rsidRDefault="003F641A" w:rsidP="003F641A">
      <w:pPr>
        <w:jc w:val="both"/>
        <w:rPr>
          <w:b/>
          <w:bCs/>
        </w:rPr>
      </w:pPr>
    </w:p>
    <w:p w14:paraId="10E9EAF0" w14:textId="77777777" w:rsidR="003F641A" w:rsidRPr="003F641A" w:rsidRDefault="003F641A" w:rsidP="003F641A">
      <w:pPr>
        <w:jc w:val="both"/>
        <w:rPr>
          <w:rFonts w:eastAsia="Calibri"/>
          <w:b/>
          <w:bCs/>
          <w:iCs w:val="0"/>
        </w:rPr>
      </w:pPr>
      <w:r w:rsidRPr="003F641A">
        <w:rPr>
          <w:rFonts w:eastAsia="Calibri"/>
          <w:b/>
          <w:bCs/>
          <w:iCs w:val="0"/>
        </w:rPr>
        <w:t>Circulante</w:t>
      </w:r>
    </w:p>
    <w:p w14:paraId="78E6BE0B" w14:textId="77777777" w:rsidR="003F641A" w:rsidRPr="003F641A" w:rsidRDefault="003F641A" w:rsidP="003F641A">
      <w:pPr>
        <w:autoSpaceDE w:val="0"/>
        <w:autoSpaceDN w:val="0"/>
        <w:adjustRightInd w:val="0"/>
        <w:jc w:val="both"/>
        <w:rPr>
          <w:b/>
          <w:bCs/>
        </w:rPr>
      </w:pPr>
    </w:p>
    <w:p w14:paraId="4715A96D" w14:textId="552F8A37" w:rsidR="003F641A" w:rsidRPr="003F641A" w:rsidRDefault="003F641A" w:rsidP="003F641A">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64D901A9" wp14:editId="309C0604">
            <wp:extent cx="4298400" cy="2622789"/>
            <wp:effectExtent l="0" t="0" r="6985" b="635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98400" cy="2622789"/>
                    </a:xfrm>
                    <a:prstGeom prst="rect">
                      <a:avLst/>
                    </a:prstGeom>
                    <a:noFill/>
                  </pic:spPr>
                </pic:pic>
              </a:graphicData>
            </a:graphic>
          </wp:inline>
        </w:drawing>
      </w:r>
    </w:p>
    <w:p w14:paraId="25119723" w14:textId="77777777" w:rsidR="003F641A" w:rsidRPr="003F641A" w:rsidRDefault="003F641A" w:rsidP="003F641A">
      <w:pPr>
        <w:numPr>
          <w:ilvl w:val="1"/>
          <w:numId w:val="0"/>
        </w:numPr>
        <w:jc w:val="both"/>
        <w:rPr>
          <w:rFonts w:cs="Times New Roman"/>
          <w:b/>
          <w:i/>
          <w:color w:val="B09A5B"/>
        </w:rPr>
      </w:pPr>
    </w:p>
    <w:p w14:paraId="5CAFACE0"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lastRenderedPageBreak/>
        <w:t>Cuentas por pagar a corto plazo</w:t>
      </w:r>
    </w:p>
    <w:p w14:paraId="5A87E916"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2B05D76C" w14:textId="77777777" w:rsidR="003F641A" w:rsidRPr="003F641A" w:rsidRDefault="003F641A" w:rsidP="003F641A">
      <w:pPr>
        <w:jc w:val="both"/>
        <w:outlineLvl w:val="0"/>
        <w:rPr>
          <w:rFonts w:eastAsia="Calibri" w:cs="Times New Roman"/>
          <w:bCs/>
          <w:iCs w:val="0"/>
        </w:rPr>
      </w:pPr>
      <w:r w:rsidRPr="003F641A">
        <w:rPr>
          <w:rFonts w:eastAsia="Calibri" w:cs="Times New Roman"/>
          <w:bCs/>
        </w:rPr>
        <w:t>Al 31 de diciembre de 2023 este rubro asciende a 4 mil 29.3 millones de pesos, y representa el 86.3 % del pasivo circulante.</w:t>
      </w:r>
    </w:p>
    <w:p w14:paraId="1A260954" w14:textId="77777777" w:rsidR="003F641A" w:rsidRPr="003F641A" w:rsidRDefault="003F641A" w:rsidP="003F641A">
      <w:pPr>
        <w:jc w:val="both"/>
        <w:outlineLvl w:val="0"/>
        <w:rPr>
          <w:rFonts w:eastAsia="Calibri" w:cs="Times New Roman"/>
          <w:bCs/>
          <w:iCs w:val="0"/>
        </w:rPr>
      </w:pPr>
    </w:p>
    <w:p w14:paraId="40408CBE" w14:textId="77777777" w:rsidR="003F641A" w:rsidRPr="003F641A" w:rsidRDefault="003F641A" w:rsidP="003F641A">
      <w:pPr>
        <w:jc w:val="both"/>
        <w:outlineLvl w:val="0"/>
        <w:rPr>
          <w:rFonts w:eastAsia="Calibri" w:cs="Times New Roman"/>
        </w:rPr>
      </w:pPr>
      <w:r w:rsidRPr="003F641A">
        <w:rPr>
          <w:rFonts w:eastAsia="Calibri" w:cs="Times New Roman"/>
          <w:bCs/>
        </w:rPr>
        <w:t xml:space="preserve">Se integra por los pasivos </w:t>
      </w:r>
      <w:r w:rsidRPr="003F641A">
        <w:rPr>
          <w:rFonts w:eastAsia="Calibri" w:cs="Times New Roman"/>
        </w:rPr>
        <w:t>de prestaciones salariales, sueldos prima quinquenal, prima vacacional y dominical, despensa, incentivos y estímulos, previsión social múltiple y aguinaldo devengado no pagado a la fecha que se informa, además por las aportaciones patronales al Instituto Mexicano del Seguro Social (IMSS) e Instituto del Fondo Nacional de la Vivienda para los Trabajadores (INFONAVIT), también para el Sistema de Ahorro para el Retiro (SAR), Instituto de Seguridad y Servicios Sociales de los Trabajadores del Estado (ISSSTE) y Fondo de la Vivienda del Instituto de Seguridad y Servicios Sociales de los Trabajadores del Estado (FOVISSSTE), aportaciones para seguro de vida, además del 2 % del Impuesto Sobre Nóminas.</w:t>
      </w:r>
    </w:p>
    <w:p w14:paraId="07643BD4" w14:textId="77777777" w:rsidR="003F641A" w:rsidRPr="003F641A" w:rsidRDefault="003F641A" w:rsidP="003F641A">
      <w:pPr>
        <w:jc w:val="both"/>
        <w:outlineLvl w:val="0"/>
        <w:rPr>
          <w:rFonts w:eastAsia="Calibri" w:cs="Times New Roman"/>
        </w:rPr>
      </w:pPr>
    </w:p>
    <w:p w14:paraId="2B57EF96" w14:textId="77777777" w:rsidR="003F641A" w:rsidRPr="003F641A" w:rsidRDefault="003F641A" w:rsidP="003F641A">
      <w:pPr>
        <w:jc w:val="both"/>
        <w:outlineLvl w:val="0"/>
        <w:rPr>
          <w:rFonts w:eastAsia="Calibri" w:cs="Times New Roman"/>
        </w:rPr>
      </w:pPr>
      <w:r w:rsidRPr="003F641A">
        <w:rPr>
          <w:rFonts w:eastAsia="Calibri" w:cs="Times New Roman"/>
        </w:rPr>
        <w:t>Así mismo, este rubro está compuesto por los siguientes conceptos:</w:t>
      </w:r>
    </w:p>
    <w:p w14:paraId="678F107A" w14:textId="77777777" w:rsidR="003F641A" w:rsidRPr="003F641A" w:rsidRDefault="003F641A" w:rsidP="003F641A">
      <w:pPr>
        <w:jc w:val="both"/>
        <w:outlineLvl w:val="0"/>
        <w:rPr>
          <w:rFonts w:eastAsia="Calibri" w:cs="Times New Roman"/>
        </w:rPr>
      </w:pPr>
    </w:p>
    <w:p w14:paraId="767800FE"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Compromisos contraídos por las entidades derivado de la adquisición de bienes de consumo e inventariables, así como por la contratación de servicios necesarios para la optimización de la operatividad de las Entidades Paraestatales y Fideicomisos No Empresariales y No Financieros, mismos que se encuentran pendientes de pago; así también, el registro de estimaciones por las obligaciones contraídas con contratistas.</w:t>
      </w:r>
    </w:p>
    <w:p w14:paraId="74CB06F5"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Las transferencias por depositar de ayudas sociales para personas, así como, los subsidios a las Entidades Paraestatales y Fideicomisos No Empresariales y No Financieros, para gastos de operación y servicios personales.</w:t>
      </w:r>
    </w:p>
    <w:p w14:paraId="2BD6DA6B"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 xml:space="preserve">Por el registro de las retenciones por servicios personales: ISSS, cuotas </w:t>
      </w:r>
      <w:r w:rsidRPr="003F641A">
        <w:rPr>
          <w:rFonts w:eastAsia="Calibri" w:cs="Times New Roman"/>
        </w:rPr>
        <w:t>IMSS, cuotas INFONAVIT, cuotas ISSSTE, cuotas SAR, cuotas FOVISSSTE</w:t>
      </w:r>
      <w:r w:rsidRPr="003F641A">
        <w:rPr>
          <w:lang w:eastAsia="es-MX"/>
        </w:rPr>
        <w:t>; crédito FONACOT, cuotas sindicales, seguro de retiro, seguro de vida, disciplinarios, pensión alimenticia, gastos funerarios, aportaciones al fondo de ahorro, recuperaciones de préstamos, además, por las retenciones y contribuciones a favor de terceros, préstamos a instituciones financieras, 2 % de Impuesto Sobre Nóminas a prestadores de servicios, IVA e ISR por honorarios y/o arrendamiento a inmuebles.</w:t>
      </w:r>
    </w:p>
    <w:p w14:paraId="6C86069F"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Por los juicios ejecutivos mercantiles (embargos), rendimientos bancarios, depósitos por aclarar, reintegros por aplicar, viáticos, así como los recursos por depositar del FASP y FOFISP a las Entidades Paraestatales y Fideicomisos No Empresariales y No Financieros, para gastos de operación y servicios personales.</w:t>
      </w:r>
    </w:p>
    <w:p w14:paraId="6CB8F41A" w14:textId="77777777" w:rsidR="003F641A" w:rsidRPr="003F641A" w:rsidRDefault="003F641A" w:rsidP="003F641A">
      <w:pPr>
        <w:jc w:val="both"/>
        <w:outlineLvl w:val="0"/>
        <w:rPr>
          <w:lang w:eastAsia="es-MX"/>
        </w:rPr>
      </w:pPr>
    </w:p>
    <w:p w14:paraId="0E796A7B" w14:textId="77777777" w:rsidR="003F641A" w:rsidRPr="003F641A" w:rsidRDefault="003F641A" w:rsidP="003F641A">
      <w:pPr>
        <w:jc w:val="both"/>
        <w:outlineLvl w:val="0"/>
        <w:rPr>
          <w:lang w:eastAsia="es-MX"/>
        </w:rPr>
      </w:pPr>
      <w:r w:rsidRPr="003F641A">
        <w:rPr>
          <w:lang w:eastAsia="es-MX"/>
        </w:rPr>
        <w:t xml:space="preserve">Así mismo, incluye las retenciones efectuadas a los contratistas por obra pública, por los siguientes conceptos: </w:t>
      </w:r>
    </w:p>
    <w:p w14:paraId="62F6ACD9" w14:textId="77777777" w:rsidR="003F641A" w:rsidRPr="003F641A" w:rsidRDefault="003F641A" w:rsidP="003F641A">
      <w:pPr>
        <w:jc w:val="both"/>
        <w:outlineLvl w:val="0"/>
        <w:rPr>
          <w:lang w:eastAsia="es-MX"/>
        </w:rPr>
      </w:pPr>
    </w:p>
    <w:p w14:paraId="2C51FB91" w14:textId="77777777" w:rsidR="003F641A" w:rsidRPr="003F641A" w:rsidRDefault="003F641A" w:rsidP="003F641A">
      <w:pPr>
        <w:numPr>
          <w:ilvl w:val="0"/>
          <w:numId w:val="7"/>
        </w:numPr>
        <w:spacing w:after="240"/>
        <w:ind w:left="357" w:hanging="357"/>
        <w:jc w:val="both"/>
        <w:outlineLvl w:val="0"/>
        <w:rPr>
          <w:lang w:eastAsia="es-MX"/>
        </w:rPr>
      </w:pPr>
      <w:r w:rsidRPr="003F641A">
        <w:rPr>
          <w:lang w:eastAsia="es-MX"/>
        </w:rPr>
        <w:t xml:space="preserve">3 al millar para el Instituto de Capacitación a los Trabajadores de la Industria de la Construcción, </w:t>
      </w:r>
    </w:p>
    <w:p w14:paraId="602CB161" w14:textId="77777777" w:rsidR="003F641A" w:rsidRPr="003F641A" w:rsidRDefault="003F641A" w:rsidP="003F641A">
      <w:pPr>
        <w:numPr>
          <w:ilvl w:val="0"/>
          <w:numId w:val="7"/>
        </w:numPr>
        <w:spacing w:after="240"/>
        <w:ind w:left="357" w:hanging="357"/>
        <w:jc w:val="both"/>
        <w:outlineLvl w:val="0"/>
        <w:rPr>
          <w:lang w:eastAsia="es-MX"/>
        </w:rPr>
      </w:pPr>
      <w:r w:rsidRPr="003F641A">
        <w:rPr>
          <w:lang w:eastAsia="es-MX"/>
        </w:rPr>
        <w:t xml:space="preserve">1 % Obras de Beneficio Social, y </w:t>
      </w:r>
    </w:p>
    <w:p w14:paraId="2D9DCFEC" w14:textId="77777777" w:rsidR="003F641A" w:rsidRPr="003F641A" w:rsidRDefault="003F641A" w:rsidP="003F641A">
      <w:pPr>
        <w:numPr>
          <w:ilvl w:val="0"/>
          <w:numId w:val="7"/>
        </w:numPr>
        <w:ind w:left="357" w:hanging="357"/>
        <w:jc w:val="both"/>
        <w:outlineLvl w:val="0"/>
        <w:rPr>
          <w:lang w:eastAsia="es-MX"/>
        </w:rPr>
      </w:pPr>
      <w:r w:rsidRPr="003F641A">
        <w:rPr>
          <w:lang w:eastAsia="es-MX"/>
        </w:rPr>
        <w:t>5 al millar de inspección y vigilancia.</w:t>
      </w:r>
    </w:p>
    <w:p w14:paraId="1A3E69FA" w14:textId="77777777" w:rsidR="003F641A" w:rsidRPr="003F641A" w:rsidRDefault="003F641A" w:rsidP="003F641A">
      <w:pPr>
        <w:jc w:val="both"/>
        <w:outlineLvl w:val="0"/>
        <w:rPr>
          <w:lang w:eastAsia="es-MX"/>
        </w:rPr>
      </w:pPr>
    </w:p>
    <w:p w14:paraId="67745C1B" w14:textId="77777777" w:rsidR="003F641A" w:rsidRPr="003F641A" w:rsidRDefault="003F641A" w:rsidP="003F641A">
      <w:pPr>
        <w:jc w:val="center"/>
        <w:outlineLvl w:val="0"/>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45FD89D7" wp14:editId="2A9DD29A">
            <wp:extent cx="4259580" cy="2631440"/>
            <wp:effectExtent l="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9580" cy="2631440"/>
                    </a:xfrm>
                    <a:prstGeom prst="rect">
                      <a:avLst/>
                    </a:prstGeom>
                    <a:noFill/>
                    <a:ln>
                      <a:noFill/>
                    </a:ln>
                  </pic:spPr>
                </pic:pic>
              </a:graphicData>
            </a:graphic>
          </wp:inline>
        </w:drawing>
      </w:r>
    </w:p>
    <w:p w14:paraId="5903BAC2"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lastRenderedPageBreak/>
        <w:t>Fondos y bienes de terceros en garantía y/o administración a corto plazo</w:t>
      </w:r>
    </w:p>
    <w:p w14:paraId="7F207BD7"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1C3BDF5E" w14:textId="77777777" w:rsidR="003F641A" w:rsidRPr="003F641A" w:rsidRDefault="003F641A" w:rsidP="003F641A">
      <w:pPr>
        <w:jc w:val="both"/>
        <w:outlineLvl w:val="0"/>
        <w:rPr>
          <w:rFonts w:eastAsia="Calibri" w:cs="Times New Roman"/>
        </w:rPr>
      </w:pPr>
      <w:r w:rsidRPr="003F641A">
        <w:rPr>
          <w:rFonts w:eastAsia="Calibri" w:cs="Times New Roman"/>
        </w:rPr>
        <w:t>En este rubro se presenta la cantidad de 583.4 millones de pesos al 31 de diciembre de 2023, se integra por las obligaciones adquiridas con recursos propios y recursos ajenos, de recursos administrados por las Entidades Paraestatales y Fideicomisos No Empresariales y No Financieros para propósitos afines como: gastos a comprobar, pago a proveedores, servicios personales, retenciones a contratistas y contribuciones.</w:t>
      </w:r>
    </w:p>
    <w:p w14:paraId="3FF4E128" w14:textId="77777777" w:rsidR="003F641A" w:rsidRPr="003F641A" w:rsidRDefault="003F641A" w:rsidP="003F641A">
      <w:pPr>
        <w:jc w:val="both"/>
        <w:outlineLvl w:val="0"/>
        <w:rPr>
          <w:rFonts w:eastAsia="Calibri" w:cs="Times New Roman"/>
        </w:rPr>
      </w:pPr>
    </w:p>
    <w:p w14:paraId="306E845D" w14:textId="77777777" w:rsidR="003F641A" w:rsidRPr="003F641A" w:rsidRDefault="003F641A" w:rsidP="003F641A">
      <w:pPr>
        <w:jc w:val="both"/>
        <w:outlineLvl w:val="0"/>
        <w:rPr>
          <w:rFonts w:eastAsia="Calibri" w:cs="Times New Roman"/>
        </w:rPr>
      </w:pPr>
      <w:r w:rsidRPr="003F641A">
        <w:rPr>
          <w:rFonts w:eastAsia="Calibri" w:cs="Times New Roman"/>
        </w:rPr>
        <w:t>Así mismo, se incluyen los recursos de programas educativos, así como, los premios otorgados.</w:t>
      </w:r>
    </w:p>
    <w:p w14:paraId="1AD8AC8B" w14:textId="77777777" w:rsidR="003F641A" w:rsidRPr="003F641A" w:rsidRDefault="003F641A" w:rsidP="003F641A">
      <w:pPr>
        <w:jc w:val="both"/>
        <w:outlineLvl w:val="0"/>
        <w:rPr>
          <w:rFonts w:eastAsia="Calibri" w:cs="Times New Roman"/>
        </w:rPr>
      </w:pPr>
    </w:p>
    <w:p w14:paraId="05601249" w14:textId="77777777" w:rsidR="003F641A" w:rsidRPr="003F641A" w:rsidRDefault="003F641A" w:rsidP="003F641A">
      <w:pPr>
        <w:jc w:val="both"/>
        <w:outlineLvl w:val="0"/>
        <w:rPr>
          <w:rFonts w:eastAsia="Calibri" w:cs="Times New Roman"/>
        </w:rPr>
      </w:pPr>
      <w:r w:rsidRPr="003F641A">
        <w:rPr>
          <w:rFonts w:eastAsia="Calibri" w:cs="Times New Roman"/>
        </w:rPr>
        <w:t>Este rubro representa el 12.5 % respecto al total del pasivo circulante.</w:t>
      </w:r>
    </w:p>
    <w:p w14:paraId="51AA406D" w14:textId="77777777" w:rsidR="003F641A" w:rsidRPr="003F641A" w:rsidRDefault="003F641A" w:rsidP="003F641A">
      <w:pPr>
        <w:jc w:val="both"/>
        <w:outlineLvl w:val="0"/>
        <w:rPr>
          <w:rFonts w:eastAsia="Calibri" w:cs="Times New Roman"/>
        </w:rPr>
      </w:pPr>
    </w:p>
    <w:p w14:paraId="0B76817F" w14:textId="77777777" w:rsidR="003F641A" w:rsidRPr="003F641A" w:rsidRDefault="003F641A" w:rsidP="003F641A">
      <w:pPr>
        <w:jc w:val="center"/>
        <w:outlineLvl w:val="0"/>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03A51B17" wp14:editId="700CFD38">
            <wp:extent cx="4259580" cy="1895475"/>
            <wp:effectExtent l="0" t="0" r="7620"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9580" cy="1895475"/>
                    </a:xfrm>
                    <a:prstGeom prst="rect">
                      <a:avLst/>
                    </a:prstGeom>
                    <a:noFill/>
                    <a:ln>
                      <a:noFill/>
                    </a:ln>
                  </pic:spPr>
                </pic:pic>
              </a:graphicData>
            </a:graphic>
          </wp:inline>
        </w:drawing>
      </w:r>
    </w:p>
    <w:p w14:paraId="5C52AE31" w14:textId="77777777" w:rsidR="003F641A" w:rsidRPr="003F641A" w:rsidRDefault="003F641A" w:rsidP="003F641A">
      <w:pPr>
        <w:jc w:val="center"/>
        <w:outlineLvl w:val="0"/>
        <w:rPr>
          <w:rFonts w:eastAsia="Calibri" w:cs="Times New Roman"/>
        </w:rPr>
      </w:pPr>
    </w:p>
    <w:p w14:paraId="6AF16B75" w14:textId="77777777" w:rsidR="003F641A" w:rsidRPr="003F641A" w:rsidRDefault="003F641A" w:rsidP="003F641A">
      <w:pPr>
        <w:jc w:val="center"/>
        <w:outlineLvl w:val="0"/>
        <w:rPr>
          <w:rFonts w:eastAsia="Calibri" w:cs="Times New Roman"/>
        </w:rPr>
      </w:pPr>
    </w:p>
    <w:p w14:paraId="4AB469A7"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Otros pasivos a corto plazo</w:t>
      </w:r>
    </w:p>
    <w:p w14:paraId="06461924"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4A3F3C04" w14:textId="77777777" w:rsidR="003F641A" w:rsidRPr="003F641A" w:rsidRDefault="003F641A" w:rsidP="003F641A">
      <w:pPr>
        <w:jc w:val="both"/>
        <w:outlineLvl w:val="0"/>
        <w:rPr>
          <w:rFonts w:eastAsia="Calibri" w:cs="Times New Roman"/>
          <w:b/>
          <w:bCs/>
          <w:i/>
          <w:iCs w:val="0"/>
        </w:rPr>
      </w:pPr>
      <w:r w:rsidRPr="003F641A">
        <w:rPr>
          <w:rFonts w:eastAsia="Calibri" w:cs="Times New Roman"/>
        </w:rPr>
        <w:t>A 57.7 millones de pesos, asciende este rubro, y corresponde a recursos federales otorgados en forma directa mediante distintas fuentes de financiamiento a las Entidades Paraestatales y Fideicomisos No Empresariales y No Financieros, así como abonos bancarios por aclarar, además de los ingresos pendientes de clasificar, captados a través de los diversos servicios que otorgan los entes públicos. Al 31 de diciembre de 2023, este rubro representa el 1.2 % respecto al activo no circulante.</w:t>
      </w:r>
    </w:p>
    <w:p w14:paraId="76EE394B" w14:textId="77777777" w:rsidR="003F641A" w:rsidRPr="003F641A" w:rsidRDefault="003F641A" w:rsidP="003F641A">
      <w:pPr>
        <w:jc w:val="both"/>
        <w:outlineLvl w:val="0"/>
        <w:rPr>
          <w:rFonts w:eastAsia="Calibri" w:cs="Times New Roman"/>
        </w:rPr>
      </w:pPr>
    </w:p>
    <w:p w14:paraId="2C18FC44" w14:textId="77777777" w:rsidR="003F641A" w:rsidRPr="003F641A" w:rsidRDefault="003F641A" w:rsidP="003F641A">
      <w:pPr>
        <w:jc w:val="center"/>
        <w:outlineLvl w:val="0"/>
        <w:rPr>
          <w:rFonts w:eastAsia="Calibri" w:cs="Times New Roman"/>
          <w:noProof/>
          <w:lang w:eastAsia="es-MX"/>
        </w:rPr>
      </w:pPr>
      <w:r w:rsidRPr="003F641A">
        <w:rPr>
          <w:rFonts w:ascii="Calibri" w:eastAsia="Calibri" w:hAnsi="Calibri" w:cs="Times New Roman"/>
          <w:iCs w:val="0"/>
          <w:noProof/>
          <w:sz w:val="22"/>
          <w:szCs w:val="22"/>
          <w:lang w:val="es-MX" w:eastAsia="es-MX"/>
        </w:rPr>
        <w:drawing>
          <wp:inline distT="0" distB="0" distL="0" distR="0" wp14:anchorId="3D5B5291" wp14:editId="737B5D03">
            <wp:extent cx="4259580" cy="1196975"/>
            <wp:effectExtent l="0" t="0" r="7620"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9580" cy="1196975"/>
                    </a:xfrm>
                    <a:prstGeom prst="rect">
                      <a:avLst/>
                    </a:prstGeom>
                    <a:noFill/>
                    <a:ln>
                      <a:noFill/>
                    </a:ln>
                  </pic:spPr>
                </pic:pic>
              </a:graphicData>
            </a:graphic>
          </wp:inline>
        </w:drawing>
      </w:r>
    </w:p>
    <w:p w14:paraId="559286A8" w14:textId="77777777" w:rsidR="003F641A" w:rsidRPr="003F641A" w:rsidRDefault="003F641A" w:rsidP="003F641A">
      <w:pPr>
        <w:jc w:val="both"/>
        <w:outlineLvl w:val="0"/>
        <w:rPr>
          <w:rFonts w:eastAsia="Calibri" w:cs="Times New Roman"/>
        </w:rPr>
      </w:pPr>
    </w:p>
    <w:p w14:paraId="7144BF95" w14:textId="77777777" w:rsidR="003F641A" w:rsidRPr="003F641A" w:rsidRDefault="003F641A" w:rsidP="003F641A">
      <w:pPr>
        <w:autoSpaceDE w:val="0"/>
        <w:autoSpaceDN w:val="0"/>
        <w:adjustRightInd w:val="0"/>
        <w:jc w:val="both"/>
        <w:rPr>
          <w:b/>
          <w:bCs/>
        </w:rPr>
      </w:pPr>
    </w:p>
    <w:p w14:paraId="416BFDE5" w14:textId="77777777" w:rsidR="003F641A" w:rsidRDefault="003F641A">
      <w:pPr>
        <w:rPr>
          <w:rFonts w:eastAsia="Calibri"/>
          <w:b/>
          <w:bCs/>
          <w:iCs w:val="0"/>
        </w:rPr>
      </w:pPr>
      <w:r>
        <w:rPr>
          <w:rFonts w:eastAsia="Calibri"/>
          <w:b/>
          <w:bCs/>
          <w:iCs w:val="0"/>
        </w:rPr>
        <w:br w:type="page"/>
      </w:r>
    </w:p>
    <w:p w14:paraId="7576AE30" w14:textId="6C9F96E0" w:rsidR="003F641A" w:rsidRPr="003F641A" w:rsidRDefault="003F641A" w:rsidP="003F641A">
      <w:pPr>
        <w:jc w:val="both"/>
        <w:rPr>
          <w:rFonts w:eastAsia="Calibri"/>
          <w:b/>
          <w:bCs/>
          <w:iCs w:val="0"/>
        </w:rPr>
      </w:pPr>
      <w:r w:rsidRPr="003F641A">
        <w:rPr>
          <w:rFonts w:eastAsia="Calibri"/>
          <w:b/>
          <w:bCs/>
          <w:iCs w:val="0"/>
        </w:rPr>
        <w:lastRenderedPageBreak/>
        <w:t>No circulante</w:t>
      </w:r>
    </w:p>
    <w:p w14:paraId="65055967" w14:textId="77777777" w:rsidR="003F641A" w:rsidRPr="003F641A" w:rsidRDefault="003F641A" w:rsidP="003F641A">
      <w:pPr>
        <w:autoSpaceDE w:val="0"/>
        <w:autoSpaceDN w:val="0"/>
        <w:adjustRightInd w:val="0"/>
        <w:jc w:val="both"/>
        <w:rPr>
          <w:b/>
          <w:bCs/>
        </w:rPr>
      </w:pPr>
    </w:p>
    <w:p w14:paraId="1943A8E6" w14:textId="77777777" w:rsidR="003F641A" w:rsidRPr="003F641A" w:rsidRDefault="003F641A" w:rsidP="003F641A">
      <w:pPr>
        <w:autoSpaceDE w:val="0"/>
        <w:autoSpaceDN w:val="0"/>
        <w:adjustRightInd w:val="0"/>
        <w:jc w:val="center"/>
        <w:rPr>
          <w:rFonts w:eastAsia="Calibri" w:cs="Times New Roman"/>
          <w:b/>
          <w:bCs/>
        </w:rPr>
      </w:pPr>
      <w:r w:rsidRPr="003F641A">
        <w:rPr>
          <w:rFonts w:ascii="Calibri" w:eastAsia="Calibri" w:hAnsi="Calibri" w:cs="Times New Roman"/>
          <w:iCs w:val="0"/>
          <w:noProof/>
          <w:sz w:val="22"/>
          <w:szCs w:val="22"/>
          <w:lang w:val="es-MX" w:eastAsia="es-MX"/>
        </w:rPr>
        <w:drawing>
          <wp:inline distT="0" distB="0" distL="0" distR="0" wp14:anchorId="5EAC4236" wp14:editId="1174F0DB">
            <wp:extent cx="3791585" cy="379857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91585" cy="3798570"/>
                    </a:xfrm>
                    <a:prstGeom prst="rect">
                      <a:avLst/>
                    </a:prstGeom>
                    <a:noFill/>
                    <a:ln>
                      <a:noFill/>
                    </a:ln>
                  </pic:spPr>
                </pic:pic>
              </a:graphicData>
            </a:graphic>
          </wp:inline>
        </w:drawing>
      </w:r>
    </w:p>
    <w:p w14:paraId="53B34949" w14:textId="66F81108" w:rsidR="003F641A" w:rsidRDefault="003F641A" w:rsidP="003F641A">
      <w:pPr>
        <w:numPr>
          <w:ilvl w:val="1"/>
          <w:numId w:val="0"/>
        </w:numPr>
        <w:jc w:val="both"/>
        <w:rPr>
          <w:rFonts w:cs="Times New Roman"/>
          <w:b/>
          <w:i/>
          <w:u w:val="single"/>
        </w:rPr>
      </w:pPr>
    </w:p>
    <w:p w14:paraId="55B24DC0" w14:textId="77777777" w:rsidR="003F641A" w:rsidRPr="003F641A" w:rsidRDefault="003F641A" w:rsidP="003F641A">
      <w:pPr>
        <w:numPr>
          <w:ilvl w:val="1"/>
          <w:numId w:val="0"/>
        </w:numPr>
        <w:jc w:val="both"/>
        <w:rPr>
          <w:rFonts w:cs="Times New Roman"/>
          <w:b/>
          <w:i/>
          <w:u w:val="single"/>
        </w:rPr>
      </w:pPr>
    </w:p>
    <w:p w14:paraId="200F452C"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Cuentas por pagar a largo plazo</w:t>
      </w:r>
    </w:p>
    <w:p w14:paraId="04DD5FB0"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3BAC86FB" w14:textId="77777777" w:rsidR="003F641A" w:rsidRPr="003F641A" w:rsidRDefault="003F641A" w:rsidP="003F641A">
      <w:pPr>
        <w:jc w:val="both"/>
        <w:outlineLvl w:val="0"/>
        <w:rPr>
          <w:rFonts w:eastAsia="Calibri" w:cs="Times New Roman"/>
        </w:rPr>
      </w:pPr>
      <w:r w:rsidRPr="003F641A">
        <w:rPr>
          <w:rFonts w:eastAsia="Calibri" w:cs="Times New Roman"/>
        </w:rPr>
        <w:t>Este rubro del pasivo, refleja el registro de los compromisos contraídos a largo plazo, por la adquisición de bienes de consumo inventariables, por la contratación de servicios con proveedores, así como, estimaciones por las obligaciones contraídas con contratistas por obra pública en bienes de dominio público y propios, las cuales se encuentran pendientes de liquidar.</w:t>
      </w:r>
    </w:p>
    <w:p w14:paraId="64C30CD2" w14:textId="77777777" w:rsidR="003F641A" w:rsidRPr="003F641A" w:rsidRDefault="003F641A" w:rsidP="003F641A">
      <w:pPr>
        <w:jc w:val="both"/>
        <w:outlineLvl w:val="0"/>
        <w:rPr>
          <w:rFonts w:eastAsia="Calibri" w:cs="Times New Roman"/>
        </w:rPr>
      </w:pPr>
    </w:p>
    <w:p w14:paraId="29CFB2A0" w14:textId="77777777" w:rsidR="003F641A" w:rsidRPr="003F641A" w:rsidRDefault="003F641A" w:rsidP="003F641A">
      <w:pPr>
        <w:jc w:val="both"/>
        <w:outlineLvl w:val="0"/>
        <w:rPr>
          <w:rFonts w:eastAsia="Calibri" w:cs="Times New Roman"/>
          <w:bCs/>
          <w:iCs w:val="0"/>
        </w:rPr>
      </w:pPr>
      <w:r w:rsidRPr="003F641A">
        <w:rPr>
          <w:rFonts w:eastAsia="Calibri" w:cs="Times New Roman"/>
        </w:rPr>
        <w:t xml:space="preserve">Al 31 de diciembre de 2023, este rubro asciende a 2 mil 426.3 </w:t>
      </w:r>
      <w:r w:rsidRPr="003F641A">
        <w:rPr>
          <w:rFonts w:eastAsia="Calibri" w:cs="Times New Roman"/>
          <w:bCs/>
        </w:rPr>
        <w:t>millones de pesos y representa el 49.4 % del pasivo no circulante.</w:t>
      </w:r>
    </w:p>
    <w:p w14:paraId="200471E7" w14:textId="77777777" w:rsidR="003F641A" w:rsidRPr="003F641A" w:rsidRDefault="003F641A" w:rsidP="003F641A">
      <w:pPr>
        <w:jc w:val="both"/>
        <w:outlineLvl w:val="0"/>
        <w:rPr>
          <w:rFonts w:eastAsia="Calibri" w:cs="Times New Roman"/>
          <w:bCs/>
          <w:iCs w:val="0"/>
        </w:rPr>
      </w:pPr>
    </w:p>
    <w:p w14:paraId="65927339" w14:textId="77777777" w:rsidR="003F641A" w:rsidRPr="003F641A" w:rsidRDefault="003F641A" w:rsidP="003F641A">
      <w:pPr>
        <w:jc w:val="center"/>
        <w:outlineLvl w:val="0"/>
        <w:rPr>
          <w:rFonts w:eastAsia="Calibri" w:cs="Times New Roman"/>
          <w:bCs/>
          <w:iCs w:val="0"/>
        </w:rPr>
      </w:pPr>
      <w:r w:rsidRPr="003F641A">
        <w:rPr>
          <w:rFonts w:ascii="Calibri" w:eastAsia="Calibri" w:hAnsi="Calibri" w:cs="Times New Roman"/>
          <w:iCs w:val="0"/>
          <w:noProof/>
          <w:sz w:val="22"/>
          <w:szCs w:val="22"/>
          <w:lang w:val="es-MX" w:eastAsia="es-MX"/>
        </w:rPr>
        <w:drawing>
          <wp:inline distT="0" distB="0" distL="0" distR="0" wp14:anchorId="4E48AFDD" wp14:editId="558F94DD">
            <wp:extent cx="4259580" cy="1330960"/>
            <wp:effectExtent l="0" t="0" r="7620" b="254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9580" cy="1330960"/>
                    </a:xfrm>
                    <a:prstGeom prst="rect">
                      <a:avLst/>
                    </a:prstGeom>
                    <a:noFill/>
                    <a:ln>
                      <a:noFill/>
                    </a:ln>
                  </pic:spPr>
                </pic:pic>
              </a:graphicData>
            </a:graphic>
          </wp:inline>
        </w:drawing>
      </w:r>
    </w:p>
    <w:p w14:paraId="3E5B3669"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4C4338C7"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49E613F1"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Pasivos diferidos a largo plazo</w:t>
      </w:r>
    </w:p>
    <w:p w14:paraId="1A97E2BD"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4FE22C80" w14:textId="77777777" w:rsidR="003F641A" w:rsidRPr="003F641A" w:rsidRDefault="003F641A" w:rsidP="003F641A">
      <w:pPr>
        <w:jc w:val="both"/>
        <w:outlineLvl w:val="0"/>
        <w:rPr>
          <w:rFonts w:eastAsia="Calibri" w:cs="Times New Roman"/>
        </w:rPr>
      </w:pPr>
      <w:r w:rsidRPr="003F641A">
        <w:rPr>
          <w:rFonts w:eastAsia="Calibri" w:cs="Times New Roman"/>
        </w:rPr>
        <w:t>Este rubro al 31 de diciembre de 2023 asciende a 2 mil 299.6</w:t>
      </w:r>
      <w:r w:rsidRPr="003F641A">
        <w:rPr>
          <w:rFonts w:eastAsia="Calibri" w:cs="Times New Roman"/>
          <w:bCs/>
        </w:rPr>
        <w:t xml:space="preserve"> millones de pesos y está integrado por el registro de prestaciones salariales como: sueldos y salarios, aguinaldo devengado no pagado, además por las aportaciones patronales al Sistema de Ahorro para el Retiro (S.A.R), </w:t>
      </w:r>
      <w:r w:rsidRPr="003F641A">
        <w:rPr>
          <w:rFonts w:eastAsia="Calibri" w:cs="Times New Roman"/>
        </w:rPr>
        <w:t xml:space="preserve">al Instituto Mexicano del Seguro Social (IMSS), al Instituto del Fondo Nacional de la Vivienda para los Trabajadores (INFONAVIT), al Fondo de la Vivienda del Instituto de Seguridad y Servicios Sociales de los Trabajadores del Estado (FOVISSSTE), al Instituto de Seguridad Social de los Trabajadores </w:t>
      </w:r>
      <w:r w:rsidRPr="003F641A">
        <w:rPr>
          <w:rFonts w:eastAsia="Calibri" w:cs="Times New Roman"/>
        </w:rPr>
        <w:lastRenderedPageBreak/>
        <w:t>del Estado de Chiapas (ISSTECH), al Instituto de Seguridad y Servicios Sociales de los Trabajadores del Estado (ISSSTE) y 2 % del Impuesto Sobre Nóminas.</w:t>
      </w:r>
    </w:p>
    <w:p w14:paraId="32D1FB0D" w14:textId="77777777" w:rsidR="003F641A" w:rsidRPr="003F641A" w:rsidRDefault="003F641A" w:rsidP="003F641A">
      <w:pPr>
        <w:jc w:val="both"/>
        <w:outlineLvl w:val="0"/>
        <w:rPr>
          <w:rFonts w:eastAsia="Calibri" w:cs="Times New Roman"/>
        </w:rPr>
      </w:pPr>
    </w:p>
    <w:p w14:paraId="3C98DF50" w14:textId="77777777" w:rsidR="003F641A" w:rsidRPr="003F641A" w:rsidRDefault="003F641A" w:rsidP="003F641A">
      <w:pPr>
        <w:jc w:val="both"/>
        <w:outlineLvl w:val="0"/>
        <w:rPr>
          <w:rFonts w:eastAsia="Calibri" w:cs="Times New Roman"/>
          <w:bCs/>
          <w:iCs w:val="0"/>
        </w:rPr>
      </w:pPr>
      <w:r w:rsidRPr="003F641A">
        <w:rPr>
          <w:rFonts w:eastAsia="Calibri" w:cs="Times New Roman"/>
          <w:bCs/>
        </w:rPr>
        <w:t xml:space="preserve">Se incluyen en este rubro el registro de las retenciones y contribuciones a terceros, 2% del impuesto sobre nóminas a prestadores de servicios, IVA e ISR por honorarios y/o arrendamiento de inmuebles, ISSS, crédito FONACOT, caja de ahorro, embargo por juicio mercantil, viáticos, disciplinarios, préstamos con financieras, aportaciones al fondo de ahorro, seguro de vida, cuota sindical, recuperación de préstamos personales, pensión alimenticia y gastos funerarios. </w:t>
      </w:r>
    </w:p>
    <w:p w14:paraId="4FBBE5BD" w14:textId="77777777" w:rsidR="003F641A" w:rsidRPr="003F641A" w:rsidRDefault="003F641A" w:rsidP="003F641A">
      <w:pPr>
        <w:jc w:val="both"/>
        <w:outlineLvl w:val="0"/>
        <w:rPr>
          <w:rFonts w:eastAsia="Calibri" w:cs="Times New Roman"/>
          <w:bCs/>
          <w:iCs w:val="0"/>
        </w:rPr>
      </w:pPr>
    </w:p>
    <w:p w14:paraId="76697027" w14:textId="77777777" w:rsidR="003F641A" w:rsidRPr="003F641A" w:rsidRDefault="003F641A" w:rsidP="003F641A">
      <w:pPr>
        <w:jc w:val="both"/>
        <w:outlineLvl w:val="0"/>
        <w:rPr>
          <w:rFonts w:eastAsia="Calibri" w:cs="Times New Roman"/>
          <w:bCs/>
        </w:rPr>
      </w:pPr>
      <w:r w:rsidRPr="003F641A">
        <w:rPr>
          <w:rFonts w:eastAsia="Calibri" w:cs="Times New Roman"/>
          <w:bCs/>
        </w:rPr>
        <w:t xml:space="preserve">Así mismo, se compone de </w:t>
      </w:r>
      <w:r w:rsidRPr="003F641A">
        <w:rPr>
          <w:rFonts w:eastAsia="Calibri" w:cs="Times New Roman"/>
        </w:rPr>
        <w:t>la recuperación de préstamos para fraccionamientos.</w:t>
      </w:r>
      <w:r w:rsidRPr="003F641A">
        <w:rPr>
          <w:rFonts w:eastAsia="Calibri" w:cs="Times New Roman"/>
          <w:bCs/>
        </w:rPr>
        <w:t xml:space="preserve"> Así como préstamos y anticipos de ministración otorgados por la Tesorería, traspaso de recursos entre cuentas bancarias, recursos del Fondo de Aportaciones para los Servicios de Salud (FASSA) por concepto de servicios personales y rendimientos, subsidios a entes públicos, recursos para programas educativos y de salud, rendimientos bancarios, reintegros de recursos, becas para programas, ayudas sociales a actividades científicas o académicas, ayudas sociales a personas, cheques en circulación no cobrados en su oportunidad, publicaciones oficiales, abonos bancarios por aclarar. </w:t>
      </w:r>
    </w:p>
    <w:p w14:paraId="460088F8" w14:textId="77777777" w:rsidR="003F641A" w:rsidRPr="003F641A" w:rsidRDefault="003F641A" w:rsidP="003F641A">
      <w:pPr>
        <w:jc w:val="both"/>
        <w:outlineLvl w:val="0"/>
        <w:rPr>
          <w:rFonts w:eastAsia="Calibri" w:cs="Times New Roman"/>
          <w:bCs/>
        </w:rPr>
      </w:pPr>
    </w:p>
    <w:p w14:paraId="1D93753A" w14:textId="77777777" w:rsidR="003F641A" w:rsidRPr="003F641A" w:rsidRDefault="003F641A" w:rsidP="003F641A">
      <w:pPr>
        <w:jc w:val="both"/>
        <w:outlineLvl w:val="0"/>
        <w:rPr>
          <w:rFonts w:eastAsia="Calibri" w:cs="Times New Roman"/>
          <w:bCs/>
          <w:iCs w:val="0"/>
        </w:rPr>
      </w:pPr>
      <w:r w:rsidRPr="003F641A">
        <w:rPr>
          <w:rFonts w:eastAsia="Calibri" w:cs="Times New Roman"/>
          <w:bCs/>
        </w:rPr>
        <w:t>Además, por las retenciones efectuadas a los contratistas por obra pública clasificados de la siguiente manera:</w:t>
      </w:r>
    </w:p>
    <w:p w14:paraId="3D04F176" w14:textId="77777777" w:rsidR="003F641A" w:rsidRPr="003F641A" w:rsidRDefault="003F641A" w:rsidP="003F641A">
      <w:pPr>
        <w:jc w:val="both"/>
        <w:outlineLvl w:val="0"/>
        <w:rPr>
          <w:rFonts w:eastAsia="Calibri" w:cs="Times New Roman"/>
        </w:rPr>
      </w:pPr>
    </w:p>
    <w:p w14:paraId="01B008F9"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1 % de aportación al Estado para obras de beneficio social.</w:t>
      </w:r>
    </w:p>
    <w:p w14:paraId="5954E869"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5 al millar de inspección y vigilancia</w:t>
      </w:r>
    </w:p>
    <w:p w14:paraId="2964E794"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3 al millar al Instituto de Capacitación de la Industria de la Construcción (ICIC)</w:t>
      </w:r>
    </w:p>
    <w:p w14:paraId="1F14E4AC" w14:textId="77777777" w:rsidR="003F641A" w:rsidRPr="003F641A" w:rsidRDefault="003F641A" w:rsidP="003F641A">
      <w:pPr>
        <w:jc w:val="both"/>
        <w:outlineLvl w:val="0"/>
        <w:rPr>
          <w:rFonts w:eastAsia="Calibri" w:cs="Times New Roman"/>
        </w:rPr>
      </w:pPr>
    </w:p>
    <w:p w14:paraId="7F954E08" w14:textId="77777777" w:rsidR="003F641A" w:rsidRPr="003F641A" w:rsidRDefault="003F641A" w:rsidP="003F641A">
      <w:pPr>
        <w:jc w:val="both"/>
        <w:outlineLvl w:val="0"/>
        <w:rPr>
          <w:rFonts w:eastAsia="Calibri" w:cs="Times New Roman"/>
        </w:rPr>
      </w:pPr>
      <w:r w:rsidRPr="003F641A">
        <w:rPr>
          <w:rFonts w:eastAsia="Calibri" w:cs="Times New Roman"/>
        </w:rPr>
        <w:t>Este rubro representa el 46.8 % respecto al total del pasivo no circulante.</w:t>
      </w:r>
    </w:p>
    <w:p w14:paraId="1DDF87EA" w14:textId="77777777" w:rsidR="003F641A" w:rsidRPr="003F641A" w:rsidRDefault="003F641A" w:rsidP="003F641A">
      <w:pPr>
        <w:jc w:val="both"/>
        <w:outlineLvl w:val="0"/>
        <w:rPr>
          <w:rFonts w:eastAsia="Calibri" w:cs="Times New Roman"/>
        </w:rPr>
      </w:pPr>
    </w:p>
    <w:p w14:paraId="236DCAFD" w14:textId="77777777" w:rsidR="003F641A" w:rsidRPr="003F641A" w:rsidRDefault="003F641A" w:rsidP="003F641A">
      <w:pPr>
        <w:jc w:val="center"/>
        <w:outlineLvl w:val="0"/>
        <w:rPr>
          <w:rFonts w:eastAsia="Calibri" w:cs="Times New Roman"/>
          <w:bCs/>
          <w:iCs w:val="0"/>
        </w:rPr>
      </w:pPr>
      <w:r w:rsidRPr="003F641A">
        <w:rPr>
          <w:rFonts w:ascii="Calibri" w:eastAsia="Calibri" w:hAnsi="Calibri" w:cs="Times New Roman"/>
          <w:iCs w:val="0"/>
          <w:noProof/>
          <w:sz w:val="22"/>
          <w:szCs w:val="22"/>
          <w:lang w:val="es-MX" w:eastAsia="es-MX"/>
        </w:rPr>
        <w:drawing>
          <wp:inline distT="0" distB="0" distL="0" distR="0" wp14:anchorId="004ECB7D" wp14:editId="69E12EC8">
            <wp:extent cx="4259580" cy="1144905"/>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9580" cy="1144905"/>
                    </a:xfrm>
                    <a:prstGeom prst="rect">
                      <a:avLst/>
                    </a:prstGeom>
                    <a:noFill/>
                    <a:ln>
                      <a:noFill/>
                    </a:ln>
                  </pic:spPr>
                </pic:pic>
              </a:graphicData>
            </a:graphic>
          </wp:inline>
        </w:drawing>
      </w:r>
    </w:p>
    <w:p w14:paraId="4611217A"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1A3E2FCC"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7B431CCA"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t>Fondos y bienes de terceros en garantía y/o administración a largo plazo</w:t>
      </w:r>
    </w:p>
    <w:p w14:paraId="58B46C6A"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1CB0023D" w14:textId="77777777" w:rsidR="003F641A" w:rsidRPr="003F641A" w:rsidRDefault="003F641A" w:rsidP="003F641A">
      <w:pPr>
        <w:jc w:val="both"/>
        <w:outlineLvl w:val="0"/>
        <w:rPr>
          <w:rFonts w:eastAsia="Calibri" w:cs="Times New Roman"/>
        </w:rPr>
      </w:pPr>
      <w:r w:rsidRPr="003F641A">
        <w:rPr>
          <w:rFonts w:eastAsia="Calibri" w:cs="Times New Roman"/>
        </w:rPr>
        <w:t>A 186.7 millones de pesos asciende este rubro al 31 de diciembre del ejercicio 2023 y corresponde a saldos de obligaciones con recursos ajenos para cubrir pagos de servicios personales y gastos de operación.</w:t>
      </w:r>
    </w:p>
    <w:p w14:paraId="2752AEEF" w14:textId="77777777" w:rsidR="003F641A" w:rsidRPr="003F641A" w:rsidRDefault="003F641A" w:rsidP="003F641A">
      <w:pPr>
        <w:jc w:val="both"/>
        <w:outlineLvl w:val="0"/>
        <w:rPr>
          <w:rFonts w:eastAsia="Calibri" w:cs="Times New Roman"/>
        </w:rPr>
      </w:pPr>
    </w:p>
    <w:p w14:paraId="2A0DD952" w14:textId="77777777" w:rsidR="003F641A" w:rsidRPr="003F641A" w:rsidRDefault="003F641A" w:rsidP="003F641A">
      <w:pPr>
        <w:jc w:val="both"/>
        <w:outlineLvl w:val="0"/>
        <w:rPr>
          <w:rFonts w:eastAsia="Calibri" w:cs="Times New Roman"/>
        </w:rPr>
      </w:pPr>
      <w:r w:rsidRPr="003F641A">
        <w:rPr>
          <w:rFonts w:eastAsia="Calibri" w:cs="Times New Roman"/>
        </w:rPr>
        <w:t>También, se incluyen los rendimientos de los programas:</w:t>
      </w:r>
    </w:p>
    <w:p w14:paraId="7056F81A" w14:textId="77777777" w:rsidR="003F641A" w:rsidRPr="003F641A" w:rsidRDefault="003F641A" w:rsidP="003F641A">
      <w:pPr>
        <w:jc w:val="both"/>
        <w:outlineLvl w:val="0"/>
        <w:rPr>
          <w:rFonts w:eastAsia="Calibri" w:cs="Times New Roman"/>
        </w:rPr>
      </w:pPr>
    </w:p>
    <w:p w14:paraId="5378EB11"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Programa del Mejoramiento del Profesorado (</w:t>
      </w:r>
      <w:proofErr w:type="spellStart"/>
      <w:r w:rsidRPr="003F641A">
        <w:rPr>
          <w:lang w:eastAsia="es-MX"/>
        </w:rPr>
        <w:t>Promep</w:t>
      </w:r>
      <w:proofErr w:type="spellEnd"/>
      <w:r w:rsidRPr="003F641A">
        <w:rPr>
          <w:lang w:eastAsia="es-MX"/>
        </w:rPr>
        <w:t>)</w:t>
      </w:r>
    </w:p>
    <w:p w14:paraId="60DEBB1F" w14:textId="77777777" w:rsidR="003F641A" w:rsidRPr="003F641A" w:rsidRDefault="003F641A" w:rsidP="003F641A">
      <w:pPr>
        <w:numPr>
          <w:ilvl w:val="0"/>
          <w:numId w:val="7"/>
        </w:numPr>
        <w:spacing w:after="120"/>
        <w:ind w:left="357" w:hanging="357"/>
        <w:jc w:val="both"/>
        <w:outlineLvl w:val="0"/>
        <w:rPr>
          <w:lang w:eastAsia="es-MX"/>
        </w:rPr>
      </w:pPr>
      <w:r w:rsidRPr="003F641A">
        <w:rPr>
          <w:lang w:eastAsia="es-MX"/>
        </w:rPr>
        <w:t>Programa de Fortalecimiento de la Calidad en Instituciones Educativas (PFCE)</w:t>
      </w:r>
    </w:p>
    <w:p w14:paraId="5BBD8D32" w14:textId="77777777" w:rsidR="003F641A" w:rsidRPr="003F641A" w:rsidRDefault="003F641A" w:rsidP="003F641A">
      <w:pPr>
        <w:jc w:val="both"/>
        <w:outlineLvl w:val="0"/>
        <w:rPr>
          <w:rFonts w:eastAsia="Calibri" w:cs="Times New Roman"/>
        </w:rPr>
      </w:pPr>
    </w:p>
    <w:p w14:paraId="11DE9773" w14:textId="77777777" w:rsidR="003F641A" w:rsidRPr="003F641A" w:rsidRDefault="003F641A" w:rsidP="003F641A">
      <w:pPr>
        <w:jc w:val="both"/>
        <w:outlineLvl w:val="0"/>
        <w:rPr>
          <w:rFonts w:eastAsia="Calibri" w:cs="Times New Roman"/>
        </w:rPr>
      </w:pPr>
      <w:r w:rsidRPr="003F641A">
        <w:rPr>
          <w:rFonts w:eastAsia="Calibri" w:cs="Times New Roman"/>
        </w:rPr>
        <w:t>Este rubro representa el 3.7 % del pasivo no circulante.</w:t>
      </w:r>
    </w:p>
    <w:p w14:paraId="2364D9EA" w14:textId="77777777" w:rsidR="003F641A" w:rsidRPr="003F641A" w:rsidRDefault="003F641A" w:rsidP="003F641A">
      <w:pPr>
        <w:tabs>
          <w:tab w:val="left" w:pos="1418"/>
        </w:tabs>
        <w:autoSpaceDE w:val="0"/>
        <w:autoSpaceDN w:val="0"/>
        <w:adjustRightInd w:val="0"/>
        <w:jc w:val="both"/>
        <w:rPr>
          <w:rFonts w:eastAsia="Calibri" w:cs="Times New Roman"/>
        </w:rPr>
      </w:pPr>
    </w:p>
    <w:p w14:paraId="6F08B641" w14:textId="77777777" w:rsidR="003F641A" w:rsidRPr="003F641A" w:rsidRDefault="003F641A" w:rsidP="003F641A">
      <w:pPr>
        <w:jc w:val="center"/>
        <w:outlineLvl w:val="0"/>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7ECCAD95" wp14:editId="0D2C302F">
            <wp:extent cx="4259580" cy="1680210"/>
            <wp:effectExtent l="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9580" cy="1680210"/>
                    </a:xfrm>
                    <a:prstGeom prst="rect">
                      <a:avLst/>
                    </a:prstGeom>
                    <a:noFill/>
                    <a:ln>
                      <a:noFill/>
                    </a:ln>
                  </pic:spPr>
                </pic:pic>
              </a:graphicData>
            </a:graphic>
          </wp:inline>
        </w:drawing>
      </w:r>
    </w:p>
    <w:p w14:paraId="7CF3289F" w14:textId="77777777" w:rsidR="003F641A" w:rsidRPr="003F641A" w:rsidRDefault="003F641A" w:rsidP="003F641A">
      <w:pPr>
        <w:numPr>
          <w:ilvl w:val="1"/>
          <w:numId w:val="0"/>
        </w:numPr>
        <w:jc w:val="both"/>
        <w:rPr>
          <w:rFonts w:cs="Times New Roman"/>
          <w:b/>
          <w:i/>
          <w:u w:val="single"/>
        </w:rPr>
      </w:pPr>
      <w:r w:rsidRPr="003F641A">
        <w:rPr>
          <w:rFonts w:cs="Times New Roman"/>
          <w:b/>
          <w:i/>
          <w:u w:val="single"/>
        </w:rPr>
        <w:lastRenderedPageBreak/>
        <w:t>Provisiones a largo plazo</w:t>
      </w:r>
    </w:p>
    <w:p w14:paraId="176A6269" w14:textId="77777777" w:rsidR="003F641A" w:rsidRPr="003F641A" w:rsidRDefault="003F641A" w:rsidP="003F641A">
      <w:pPr>
        <w:tabs>
          <w:tab w:val="left" w:pos="1418"/>
        </w:tabs>
        <w:autoSpaceDE w:val="0"/>
        <w:autoSpaceDN w:val="0"/>
        <w:adjustRightInd w:val="0"/>
        <w:jc w:val="both"/>
        <w:rPr>
          <w:rFonts w:eastAsia="Calibri" w:cs="Times New Roman"/>
          <w:b/>
          <w:i/>
        </w:rPr>
      </w:pPr>
    </w:p>
    <w:p w14:paraId="674E195A" w14:textId="77777777" w:rsidR="003F641A" w:rsidRPr="003F641A" w:rsidRDefault="003F641A" w:rsidP="003F641A">
      <w:pPr>
        <w:autoSpaceDE w:val="0"/>
        <w:autoSpaceDN w:val="0"/>
        <w:adjustRightInd w:val="0"/>
        <w:jc w:val="both"/>
        <w:rPr>
          <w:bCs/>
          <w:iCs w:val="0"/>
          <w:color w:val="000000"/>
          <w:lang w:eastAsia="es-MX"/>
        </w:rPr>
      </w:pPr>
      <w:r w:rsidRPr="003F641A">
        <w:rPr>
          <w:bCs/>
          <w:color w:val="000000"/>
          <w:lang w:eastAsia="es-MX"/>
        </w:rPr>
        <w:t xml:space="preserve">Este rubro asciende a 3.4 </w:t>
      </w:r>
      <w:r w:rsidRPr="003F641A">
        <w:rPr>
          <w:color w:val="000000"/>
          <w:lang w:eastAsia="es-MX"/>
        </w:rPr>
        <w:t xml:space="preserve">millones de pesos, y se integra por la provisión para </w:t>
      </w:r>
      <w:r w:rsidRPr="003F641A">
        <w:rPr>
          <w:bCs/>
          <w:color w:val="000000"/>
          <w:lang w:eastAsia="es-MX"/>
        </w:rPr>
        <w:t xml:space="preserve">demandas y juicios a largo plazo para hacer frente a casos fortuitos, que resulten de la operatividad de los entes públicos que conforman las Entidades Paraestatales y Fideicomisos No Empresariales y No Financieros. </w:t>
      </w:r>
    </w:p>
    <w:p w14:paraId="3A2F8F47" w14:textId="77777777" w:rsidR="003F641A" w:rsidRPr="003F641A" w:rsidRDefault="003F641A" w:rsidP="003F641A">
      <w:pPr>
        <w:autoSpaceDE w:val="0"/>
        <w:autoSpaceDN w:val="0"/>
        <w:adjustRightInd w:val="0"/>
        <w:jc w:val="both"/>
        <w:rPr>
          <w:bCs/>
          <w:iCs w:val="0"/>
          <w:color w:val="000000"/>
          <w:lang w:eastAsia="es-MX"/>
        </w:rPr>
      </w:pPr>
    </w:p>
    <w:p w14:paraId="4D985AC1" w14:textId="77777777" w:rsidR="003F641A" w:rsidRPr="003F641A" w:rsidRDefault="003F641A" w:rsidP="003F641A">
      <w:pPr>
        <w:autoSpaceDE w:val="0"/>
        <w:autoSpaceDN w:val="0"/>
        <w:adjustRightInd w:val="0"/>
        <w:jc w:val="both"/>
        <w:rPr>
          <w:bCs/>
          <w:color w:val="000000"/>
          <w:lang w:eastAsia="es-MX"/>
        </w:rPr>
      </w:pPr>
      <w:r w:rsidRPr="003F641A">
        <w:rPr>
          <w:bCs/>
          <w:color w:val="000000"/>
          <w:lang w:eastAsia="es-MX"/>
        </w:rPr>
        <w:t>Al periodo que se informa este rubro representa el 0.1 % del total del pasivo no circulante.</w:t>
      </w:r>
    </w:p>
    <w:p w14:paraId="68DE6E49" w14:textId="77777777" w:rsidR="003F641A" w:rsidRPr="003F641A" w:rsidRDefault="003F641A" w:rsidP="003F641A">
      <w:pPr>
        <w:autoSpaceDE w:val="0"/>
        <w:autoSpaceDN w:val="0"/>
        <w:adjustRightInd w:val="0"/>
        <w:jc w:val="both"/>
        <w:rPr>
          <w:rFonts w:eastAsia="Calibri"/>
          <w:color w:val="000000"/>
        </w:rPr>
      </w:pPr>
    </w:p>
    <w:p w14:paraId="3839CDFF" w14:textId="77777777" w:rsidR="003F641A" w:rsidRPr="003F641A" w:rsidRDefault="003F641A" w:rsidP="003F641A">
      <w:pPr>
        <w:jc w:val="center"/>
        <w:outlineLvl w:val="0"/>
        <w:rPr>
          <w:rFonts w:eastAsia="Calibri" w:cs="Times New Roman"/>
          <w:bCs/>
          <w:iCs w:val="0"/>
        </w:rPr>
      </w:pPr>
      <w:r w:rsidRPr="003F641A">
        <w:rPr>
          <w:rFonts w:ascii="Calibri" w:eastAsia="Calibri" w:hAnsi="Calibri" w:cs="Times New Roman"/>
          <w:iCs w:val="0"/>
          <w:noProof/>
          <w:sz w:val="22"/>
          <w:szCs w:val="22"/>
          <w:lang w:val="es-MX" w:eastAsia="es-MX"/>
        </w:rPr>
        <w:drawing>
          <wp:inline distT="0" distB="0" distL="0" distR="0" wp14:anchorId="734122B5" wp14:editId="24DD7D54">
            <wp:extent cx="4259580" cy="1144905"/>
            <wp:effectExtent l="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9580" cy="1144905"/>
                    </a:xfrm>
                    <a:prstGeom prst="rect">
                      <a:avLst/>
                    </a:prstGeom>
                    <a:noFill/>
                    <a:ln>
                      <a:noFill/>
                    </a:ln>
                  </pic:spPr>
                </pic:pic>
              </a:graphicData>
            </a:graphic>
          </wp:inline>
        </w:drawing>
      </w:r>
    </w:p>
    <w:p w14:paraId="1CA0838F" w14:textId="77777777" w:rsidR="003F641A" w:rsidRPr="003F641A" w:rsidRDefault="003F641A" w:rsidP="003F641A">
      <w:pPr>
        <w:jc w:val="both"/>
        <w:outlineLvl w:val="0"/>
        <w:rPr>
          <w:rFonts w:eastAsia="Calibri" w:cs="Times New Roman"/>
          <w:bCs/>
          <w:iCs w:val="0"/>
        </w:rPr>
      </w:pPr>
    </w:p>
    <w:p w14:paraId="54E3C935" w14:textId="77777777" w:rsidR="003F641A" w:rsidRPr="003F641A" w:rsidRDefault="003F641A" w:rsidP="003F641A">
      <w:pPr>
        <w:jc w:val="both"/>
        <w:rPr>
          <w:rFonts w:eastAsia="Calibri" w:cs="Times New Roman"/>
        </w:rPr>
      </w:pPr>
    </w:p>
    <w:p w14:paraId="41AAE24D" w14:textId="77777777" w:rsidR="003F641A" w:rsidRPr="003F641A" w:rsidRDefault="003F641A" w:rsidP="003F641A">
      <w:pPr>
        <w:jc w:val="both"/>
        <w:rPr>
          <w:rFonts w:eastAsia="Calibri"/>
          <w:b/>
          <w:bCs/>
          <w:iCs w:val="0"/>
          <w:caps/>
        </w:rPr>
      </w:pPr>
      <w:r w:rsidRPr="003F641A">
        <w:rPr>
          <w:rFonts w:eastAsia="Calibri"/>
          <w:b/>
          <w:bCs/>
          <w:iCs w:val="0"/>
        </w:rPr>
        <w:t>Notas al estado de variación en la hacienda pública</w:t>
      </w:r>
    </w:p>
    <w:p w14:paraId="53B87AF7" w14:textId="77777777" w:rsidR="003F641A" w:rsidRPr="003F641A" w:rsidRDefault="003F641A" w:rsidP="003F641A">
      <w:pPr>
        <w:jc w:val="both"/>
        <w:outlineLvl w:val="0"/>
        <w:rPr>
          <w:rFonts w:eastAsia="Calibri" w:cs="Times New Roman"/>
        </w:rPr>
      </w:pPr>
    </w:p>
    <w:p w14:paraId="67522B26" w14:textId="77777777" w:rsidR="003F641A" w:rsidRPr="003F641A" w:rsidRDefault="003F641A" w:rsidP="003F641A">
      <w:pPr>
        <w:jc w:val="both"/>
        <w:outlineLvl w:val="0"/>
        <w:rPr>
          <w:rFonts w:eastAsia="Calibri" w:cs="Times New Roman"/>
        </w:rPr>
      </w:pPr>
      <w:r w:rsidRPr="003F641A">
        <w:rPr>
          <w:rFonts w:eastAsia="Calibri" w:cs="Times New Roman"/>
        </w:rPr>
        <w:t>La Hacienda Pública representa el importe de los bienes y derechos que son propiedad de las entidades, dicho importe es modificado principalmente por el resultado positivo obtenido al periodo que se informa fue de 5 mil 898.9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38 mil 465.2 millones de pesos.</w:t>
      </w:r>
    </w:p>
    <w:p w14:paraId="564E2D57" w14:textId="77777777" w:rsidR="003F641A" w:rsidRPr="003F641A" w:rsidRDefault="003F641A" w:rsidP="003F641A">
      <w:pPr>
        <w:jc w:val="both"/>
        <w:outlineLvl w:val="0"/>
        <w:rPr>
          <w:rFonts w:eastAsia="Calibri" w:cs="Times New Roman"/>
        </w:rPr>
      </w:pPr>
    </w:p>
    <w:p w14:paraId="102E48F6" w14:textId="345DA388" w:rsidR="003F641A" w:rsidRDefault="003F641A" w:rsidP="003F641A">
      <w:pPr>
        <w:jc w:val="both"/>
        <w:outlineLvl w:val="0"/>
        <w:rPr>
          <w:rFonts w:eastAsia="Calibri" w:cs="Times New Roman"/>
        </w:rPr>
      </w:pPr>
      <w:r w:rsidRPr="003F641A">
        <w:rPr>
          <w:rFonts w:eastAsia="Calibri" w:cs="Times New Roman"/>
        </w:rPr>
        <w:t>Así también, es modificado por el aumento o disminución al patrimonio, derivado del registro de los incrementos o decrementos realizados al patrimonio de las entidades. A la fecha que se informa la modificación neta presenta un incremento al patrimonio de 2 mil 626.0 millones de pesos.</w:t>
      </w:r>
    </w:p>
    <w:p w14:paraId="075757A6" w14:textId="77777777" w:rsidR="003F641A" w:rsidRPr="003F641A" w:rsidRDefault="003F641A" w:rsidP="003F641A">
      <w:pPr>
        <w:jc w:val="both"/>
        <w:outlineLvl w:val="0"/>
        <w:rPr>
          <w:rFonts w:eastAsia="Calibri" w:cs="Times New Roman"/>
        </w:rPr>
      </w:pPr>
    </w:p>
    <w:p w14:paraId="5AB1BD7D" w14:textId="77777777" w:rsidR="003F641A" w:rsidRPr="003F641A" w:rsidRDefault="003F641A" w:rsidP="003F641A">
      <w:pPr>
        <w:jc w:val="both"/>
        <w:rPr>
          <w:rFonts w:eastAsia="Calibri"/>
          <w:b/>
          <w:bCs/>
          <w:iCs w:val="0"/>
        </w:rPr>
      </w:pPr>
      <w:r w:rsidRPr="003F641A">
        <w:rPr>
          <w:rFonts w:eastAsia="Calibri"/>
          <w:b/>
          <w:bCs/>
          <w:iCs w:val="0"/>
        </w:rPr>
        <w:t>Notas al estado de flujos de efectivo</w:t>
      </w:r>
    </w:p>
    <w:p w14:paraId="6FBF401F" w14:textId="77777777" w:rsidR="003F641A" w:rsidRPr="003F641A" w:rsidRDefault="003F641A" w:rsidP="003F641A">
      <w:pPr>
        <w:jc w:val="both"/>
        <w:outlineLvl w:val="0"/>
        <w:rPr>
          <w:rFonts w:eastAsia="Calibri" w:cs="Times New Roman"/>
        </w:rPr>
      </w:pPr>
    </w:p>
    <w:p w14:paraId="170BCBB1" w14:textId="77777777" w:rsidR="003F641A" w:rsidRPr="003F641A" w:rsidRDefault="003F641A" w:rsidP="003F641A">
      <w:pPr>
        <w:tabs>
          <w:tab w:val="left" w:pos="6840"/>
        </w:tabs>
        <w:jc w:val="both"/>
        <w:outlineLvl w:val="0"/>
        <w:rPr>
          <w:rFonts w:eastAsia="Calibri" w:cs="Times New Roman"/>
        </w:rPr>
      </w:pPr>
      <w:r w:rsidRPr="003F641A">
        <w:rPr>
          <w:rFonts w:eastAsia="Calibri" w:cs="Times New Roman"/>
        </w:rPr>
        <w:t>El Estado de Flujos de Efectivo de las Entidades Paraestatales y Fideicomisos No Empresariales y No Financieros, muestra los flujos de efectivo, conformado por los elementos básicos: origen y aplicación de los recursos.</w:t>
      </w:r>
    </w:p>
    <w:p w14:paraId="3A920477" w14:textId="77777777" w:rsidR="003F641A" w:rsidRPr="003F641A" w:rsidRDefault="003F641A" w:rsidP="003F641A">
      <w:pPr>
        <w:tabs>
          <w:tab w:val="left" w:pos="6840"/>
        </w:tabs>
        <w:jc w:val="both"/>
        <w:outlineLvl w:val="0"/>
        <w:rPr>
          <w:rFonts w:eastAsia="Calibri" w:cs="Times New Roman"/>
        </w:rPr>
      </w:pPr>
    </w:p>
    <w:p w14:paraId="0EC227CB" w14:textId="77777777" w:rsidR="003F641A" w:rsidRPr="003F641A" w:rsidRDefault="003F641A" w:rsidP="003F641A">
      <w:pPr>
        <w:tabs>
          <w:tab w:val="left" w:pos="6840"/>
        </w:tabs>
        <w:jc w:val="both"/>
        <w:outlineLvl w:val="0"/>
        <w:rPr>
          <w:rFonts w:eastAsia="Calibri" w:cs="Times New Roman"/>
        </w:rPr>
      </w:pPr>
      <w:r w:rsidRPr="003F641A">
        <w:rPr>
          <w:rFonts w:eastAsia="Calibri" w:cs="Times New Roman"/>
        </w:rPr>
        <w:t>La disminución neta en el efectivo y equivalentes al efectivo al 31 de diciembre de 2023 asciende a 1 mil 377.4 millones de pesos.</w:t>
      </w:r>
    </w:p>
    <w:p w14:paraId="497D5310" w14:textId="77777777" w:rsidR="003F641A" w:rsidRPr="003F641A" w:rsidRDefault="003F641A" w:rsidP="003F641A">
      <w:pPr>
        <w:jc w:val="both"/>
        <w:outlineLvl w:val="0"/>
        <w:rPr>
          <w:rFonts w:eastAsia="Calibri" w:cs="Times New Roman"/>
          <w:b/>
          <w:bCs/>
        </w:rPr>
      </w:pPr>
    </w:p>
    <w:p w14:paraId="67E86F1E" w14:textId="77777777" w:rsidR="003F641A" w:rsidRPr="003F641A" w:rsidRDefault="003F641A" w:rsidP="003F641A">
      <w:pPr>
        <w:jc w:val="both"/>
        <w:rPr>
          <w:rFonts w:eastAsia="Calibri"/>
          <w:b/>
          <w:bCs/>
          <w:iCs w:val="0"/>
        </w:rPr>
      </w:pPr>
      <w:r w:rsidRPr="003F641A">
        <w:rPr>
          <w:rFonts w:eastAsia="Calibri"/>
          <w:b/>
          <w:bCs/>
          <w:iCs w:val="0"/>
        </w:rPr>
        <w:t>Flujo de efectivo de las actividades de operación</w:t>
      </w:r>
    </w:p>
    <w:p w14:paraId="5AFBB7BA" w14:textId="77777777" w:rsidR="003F641A" w:rsidRPr="003F641A" w:rsidRDefault="003F641A" w:rsidP="003F641A">
      <w:pPr>
        <w:jc w:val="both"/>
        <w:outlineLvl w:val="0"/>
        <w:rPr>
          <w:rFonts w:eastAsia="Calibri" w:cs="Times New Roman"/>
          <w:b/>
          <w:bCs/>
        </w:rPr>
      </w:pPr>
    </w:p>
    <w:p w14:paraId="05C42EA5" w14:textId="77777777" w:rsidR="003F641A" w:rsidRPr="003F641A" w:rsidRDefault="003F641A" w:rsidP="003F641A">
      <w:pPr>
        <w:jc w:val="both"/>
        <w:outlineLvl w:val="0"/>
        <w:rPr>
          <w:rFonts w:eastAsia="Calibri" w:cs="Times New Roman"/>
          <w:bCs/>
        </w:rPr>
      </w:pPr>
      <w:r w:rsidRPr="003F641A">
        <w:rPr>
          <w:rFonts w:eastAsia="Calibri" w:cs="Times New Roman"/>
          <w:bCs/>
        </w:rPr>
        <w:t>Durante el periodo que se informa, las Entidades Paraestatales y Fideicomisos No Empresariales y No Financieros, recibieron ingresos de gestión por la cantidad de 38 mil 701.1 millones de pesos. El gasto de funcionamiento devengado por el periodo comprendido del 1 de enero al 31 de diciembre de 2023 asciende a 32 mil 802.2 millones de pesos, el cual refleja un flujo neto positivo por actividades de operación por un importe de 5 mil 898.9 millones de pesos.</w:t>
      </w:r>
    </w:p>
    <w:p w14:paraId="523E1BC6" w14:textId="77777777" w:rsidR="003F641A" w:rsidRPr="003F641A" w:rsidRDefault="003F641A" w:rsidP="003F641A">
      <w:pPr>
        <w:jc w:val="both"/>
        <w:outlineLvl w:val="0"/>
        <w:rPr>
          <w:rFonts w:eastAsia="Calibri" w:cs="Times New Roman"/>
          <w:b/>
          <w:bCs/>
        </w:rPr>
      </w:pPr>
    </w:p>
    <w:p w14:paraId="33BC5EBC" w14:textId="77777777" w:rsidR="003F641A" w:rsidRPr="003F641A" w:rsidRDefault="003F641A" w:rsidP="003F641A">
      <w:pPr>
        <w:jc w:val="both"/>
        <w:rPr>
          <w:rFonts w:eastAsia="Calibri"/>
          <w:b/>
          <w:bCs/>
          <w:iCs w:val="0"/>
        </w:rPr>
      </w:pPr>
      <w:r w:rsidRPr="003F641A">
        <w:rPr>
          <w:rFonts w:eastAsia="Calibri"/>
          <w:b/>
          <w:bCs/>
          <w:iCs w:val="0"/>
        </w:rPr>
        <w:t>Flujo de efectivo de las actividades de inversión</w:t>
      </w:r>
    </w:p>
    <w:p w14:paraId="5C8B2A09" w14:textId="77777777" w:rsidR="003F641A" w:rsidRPr="003F641A" w:rsidRDefault="003F641A" w:rsidP="003F641A">
      <w:pPr>
        <w:jc w:val="both"/>
        <w:outlineLvl w:val="0"/>
        <w:rPr>
          <w:rFonts w:eastAsia="Calibri" w:cs="Times New Roman"/>
          <w:b/>
          <w:bCs/>
        </w:rPr>
      </w:pPr>
    </w:p>
    <w:p w14:paraId="61D89002" w14:textId="77777777" w:rsidR="003F641A" w:rsidRPr="003F641A" w:rsidRDefault="003F641A" w:rsidP="003F641A">
      <w:pPr>
        <w:jc w:val="both"/>
        <w:outlineLvl w:val="0"/>
        <w:rPr>
          <w:rFonts w:eastAsia="Calibri" w:cs="Times New Roman"/>
          <w:bCs/>
        </w:rPr>
      </w:pPr>
      <w:r w:rsidRPr="003F641A">
        <w:rPr>
          <w:rFonts w:eastAsia="Calibri" w:cs="Times New Roman"/>
          <w:bCs/>
        </w:rPr>
        <w:t>Durante el periodo que se informa, las Entidades Paraestatales y Fideicomisos No Empresariales y No Financieros, recibieron ingresos de inversión por la cantidad de 2 mil 2.8 millones de pesos. El gasto de funcionamiento devengado por el periodo comprendido del 1 de enero al 31 de diciembre de 2023 asciende a 6 mil 786.0 millones de pesos, el cual refleja un flujo neto negativo por actividades de inversión por un importe de 4 mil 783.2 millones de pesos.</w:t>
      </w:r>
    </w:p>
    <w:p w14:paraId="4C19766A" w14:textId="77777777" w:rsidR="003F641A" w:rsidRPr="003F641A" w:rsidRDefault="003F641A" w:rsidP="003F641A">
      <w:pPr>
        <w:jc w:val="both"/>
        <w:outlineLvl w:val="0"/>
        <w:rPr>
          <w:rFonts w:eastAsia="Calibri" w:cs="Times New Roman"/>
          <w:bCs/>
        </w:rPr>
      </w:pPr>
    </w:p>
    <w:p w14:paraId="07E0AA9C" w14:textId="77777777" w:rsidR="003F641A" w:rsidRPr="003F641A" w:rsidRDefault="003F641A" w:rsidP="003F641A">
      <w:pPr>
        <w:jc w:val="both"/>
        <w:rPr>
          <w:rFonts w:eastAsia="Calibri"/>
          <w:b/>
          <w:bCs/>
          <w:iCs w:val="0"/>
        </w:rPr>
      </w:pPr>
      <w:r w:rsidRPr="003F641A">
        <w:rPr>
          <w:rFonts w:eastAsia="Calibri"/>
          <w:b/>
          <w:bCs/>
          <w:iCs w:val="0"/>
        </w:rPr>
        <w:t>Flujo de efectivo de las actividades de financiamiento</w:t>
      </w:r>
    </w:p>
    <w:p w14:paraId="50FDDDF0" w14:textId="77777777" w:rsidR="003F641A" w:rsidRPr="003F641A" w:rsidRDefault="003F641A" w:rsidP="003F641A">
      <w:pPr>
        <w:jc w:val="both"/>
        <w:outlineLvl w:val="0"/>
        <w:rPr>
          <w:rFonts w:eastAsia="Calibri" w:cs="Times New Roman"/>
          <w:b/>
          <w:bCs/>
        </w:rPr>
      </w:pPr>
    </w:p>
    <w:p w14:paraId="36383407" w14:textId="77777777" w:rsidR="003F641A" w:rsidRPr="003F641A" w:rsidRDefault="003F641A" w:rsidP="003F641A">
      <w:pPr>
        <w:jc w:val="both"/>
        <w:outlineLvl w:val="0"/>
        <w:rPr>
          <w:rFonts w:eastAsia="Calibri" w:cs="Times New Roman"/>
          <w:bCs/>
        </w:rPr>
      </w:pPr>
      <w:r w:rsidRPr="003F641A">
        <w:rPr>
          <w:rFonts w:eastAsia="Calibri" w:cs="Times New Roman"/>
          <w:bCs/>
        </w:rPr>
        <w:t xml:space="preserve">Durante el periodo que se informa, las Entidades Paraestatales y Fideicomisos No Empresariales y No Financieros, recibieron ingresos de financiamiento por la cantidad de 314.1 millones de pesos. El gasto de funcionamiento devengado </w:t>
      </w:r>
      <w:r w:rsidRPr="003F641A">
        <w:rPr>
          <w:rFonts w:eastAsia="Calibri" w:cs="Times New Roman"/>
          <w:bCs/>
        </w:rPr>
        <w:lastRenderedPageBreak/>
        <w:t>por el periodo comprendido del 1 de enero al 31 de diciembre de 2023 asciende a 2 mil 807.2 millones de pesos, el cual refleja un flujo neto negativo por actividades de financiamiento por un importe de 2 mil 493.1 millones de pesos.</w:t>
      </w:r>
    </w:p>
    <w:p w14:paraId="2530C357" w14:textId="77777777" w:rsidR="003F641A" w:rsidRPr="003F641A" w:rsidRDefault="003F641A" w:rsidP="003F641A">
      <w:pPr>
        <w:jc w:val="both"/>
        <w:outlineLvl w:val="0"/>
        <w:rPr>
          <w:rFonts w:eastAsia="Calibri" w:cs="Times New Roman"/>
          <w:bCs/>
        </w:rPr>
      </w:pPr>
    </w:p>
    <w:p w14:paraId="5AC2AF6E" w14:textId="77777777" w:rsidR="003F641A" w:rsidRPr="003F641A" w:rsidRDefault="003F641A" w:rsidP="003F641A">
      <w:pPr>
        <w:jc w:val="both"/>
        <w:rPr>
          <w:rFonts w:eastAsia="Calibri"/>
          <w:b/>
          <w:bCs/>
          <w:iCs w:val="0"/>
        </w:rPr>
      </w:pPr>
      <w:r w:rsidRPr="003F641A">
        <w:rPr>
          <w:rFonts w:eastAsia="Calibri"/>
          <w:b/>
          <w:bCs/>
          <w:iCs w:val="0"/>
        </w:rPr>
        <w:t>Efectivo y equivalentes al efectivo al final del ejercicio</w:t>
      </w:r>
    </w:p>
    <w:p w14:paraId="79D0EC18" w14:textId="77777777" w:rsidR="003F641A" w:rsidRPr="003F641A" w:rsidRDefault="003F641A" w:rsidP="003F641A">
      <w:pPr>
        <w:jc w:val="both"/>
        <w:outlineLvl w:val="0"/>
        <w:rPr>
          <w:rFonts w:eastAsia="Calibri" w:cs="Times New Roman"/>
          <w:b/>
          <w:bCs/>
        </w:rPr>
      </w:pPr>
    </w:p>
    <w:p w14:paraId="5EFE4C74" w14:textId="77777777" w:rsidR="003F641A" w:rsidRPr="003F641A" w:rsidRDefault="003F641A" w:rsidP="003F641A">
      <w:pPr>
        <w:jc w:val="both"/>
        <w:outlineLvl w:val="0"/>
        <w:rPr>
          <w:rFonts w:eastAsia="Calibri" w:cs="Times New Roman"/>
          <w:bCs/>
        </w:rPr>
      </w:pPr>
      <w:r w:rsidRPr="003F641A">
        <w:rPr>
          <w:rFonts w:eastAsia="Calibri" w:cs="Times New Roman"/>
          <w:bCs/>
        </w:rPr>
        <w:t>Las cifras del efectivo y equivalentes al efectivo, al final del ejercicio que figuran en la última parte del Estado de Flujos de Efectivo de las Entidades Paraestatales y Fideicomisos No Empresariales y No Financieros.</w:t>
      </w:r>
    </w:p>
    <w:p w14:paraId="5CC7E22B" w14:textId="77777777" w:rsidR="003F641A" w:rsidRPr="003F641A" w:rsidRDefault="003F641A" w:rsidP="003F641A">
      <w:pPr>
        <w:jc w:val="both"/>
        <w:outlineLvl w:val="0"/>
        <w:rPr>
          <w:rFonts w:eastAsia="Calibri" w:cs="Times New Roman"/>
          <w:bCs/>
        </w:rPr>
      </w:pPr>
    </w:p>
    <w:p w14:paraId="7B3C7844" w14:textId="77777777" w:rsidR="003F641A" w:rsidRPr="003F641A" w:rsidRDefault="003F641A" w:rsidP="003F641A">
      <w:pPr>
        <w:jc w:val="center"/>
        <w:outlineLvl w:val="0"/>
        <w:rPr>
          <w:rFonts w:eastAsia="Calibri" w:cs="Times New Roman"/>
          <w:bCs/>
        </w:rPr>
      </w:pPr>
      <w:r w:rsidRPr="003F641A">
        <w:rPr>
          <w:rFonts w:ascii="Calibri" w:eastAsia="Calibri" w:hAnsi="Calibri" w:cs="Times New Roman"/>
          <w:iCs w:val="0"/>
          <w:noProof/>
          <w:sz w:val="22"/>
          <w:szCs w:val="22"/>
          <w:lang w:val="es-MX" w:eastAsia="es-MX"/>
        </w:rPr>
        <w:drawing>
          <wp:inline distT="0" distB="0" distL="0" distR="0" wp14:anchorId="601DD7DB" wp14:editId="73EECC50">
            <wp:extent cx="4155440" cy="115252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5440" cy="1152525"/>
                    </a:xfrm>
                    <a:prstGeom prst="rect">
                      <a:avLst/>
                    </a:prstGeom>
                    <a:noFill/>
                    <a:ln>
                      <a:noFill/>
                    </a:ln>
                  </pic:spPr>
                </pic:pic>
              </a:graphicData>
            </a:graphic>
          </wp:inline>
        </w:drawing>
      </w:r>
    </w:p>
    <w:p w14:paraId="59DEB114" w14:textId="77777777" w:rsidR="003F641A" w:rsidRPr="003F641A" w:rsidRDefault="003F641A" w:rsidP="003F641A">
      <w:pPr>
        <w:outlineLvl w:val="0"/>
        <w:rPr>
          <w:rFonts w:eastAsia="Calibri" w:cs="Times New Roman"/>
          <w:bCs/>
        </w:rPr>
      </w:pPr>
    </w:p>
    <w:p w14:paraId="4F3C2727" w14:textId="77777777" w:rsidR="003F641A" w:rsidRPr="003F641A" w:rsidRDefault="003F641A" w:rsidP="003F641A">
      <w:pPr>
        <w:outlineLvl w:val="0"/>
        <w:rPr>
          <w:rFonts w:eastAsia="Calibri" w:cs="Times New Roman"/>
          <w:bCs/>
        </w:rPr>
      </w:pPr>
    </w:p>
    <w:p w14:paraId="51B6E9AB" w14:textId="77777777" w:rsidR="003F641A" w:rsidRPr="003F641A" w:rsidRDefault="003F641A" w:rsidP="003F641A">
      <w:pPr>
        <w:jc w:val="both"/>
        <w:rPr>
          <w:rFonts w:eastAsia="Calibri"/>
          <w:b/>
          <w:bCs/>
          <w:iCs w:val="0"/>
        </w:rPr>
      </w:pPr>
      <w:r w:rsidRPr="003F641A">
        <w:rPr>
          <w:rFonts w:eastAsia="Calibri"/>
          <w:b/>
          <w:bCs/>
          <w:iCs w:val="0"/>
        </w:rPr>
        <w:t>Efectivo y Equivalentes</w:t>
      </w:r>
    </w:p>
    <w:p w14:paraId="712F318A" w14:textId="77777777" w:rsidR="003F641A" w:rsidRPr="003F641A" w:rsidRDefault="003F641A" w:rsidP="003F641A">
      <w:pPr>
        <w:numPr>
          <w:ilvl w:val="1"/>
          <w:numId w:val="0"/>
        </w:numPr>
        <w:jc w:val="both"/>
        <w:rPr>
          <w:rFonts w:eastAsia="Calibri" w:cs="Times New Roman"/>
          <w:b/>
          <w:bCs/>
        </w:rPr>
      </w:pPr>
    </w:p>
    <w:p w14:paraId="3A8C74F8" w14:textId="77777777" w:rsidR="003F641A" w:rsidRPr="003F641A" w:rsidRDefault="003F641A" w:rsidP="003F641A">
      <w:pPr>
        <w:jc w:val="both"/>
        <w:outlineLvl w:val="0"/>
        <w:rPr>
          <w:rFonts w:eastAsia="Calibri" w:cs="Times New Roman"/>
          <w:bCs/>
        </w:rPr>
      </w:pPr>
      <w:r w:rsidRPr="003F641A">
        <w:rPr>
          <w:rFonts w:eastAsia="Calibri" w:cs="Times New Roman"/>
          <w:bCs/>
        </w:rPr>
        <w:t>El análisis de los saldos inicial y final del efectivo y equivalentes al efectivo, al final del ejercicio del estado de flujos de efectivo, respecto a la composición del rubro efectivo y equivalentes es como sigue:</w:t>
      </w:r>
    </w:p>
    <w:p w14:paraId="39700F0F" w14:textId="77777777" w:rsidR="003F641A" w:rsidRPr="003F641A" w:rsidRDefault="003F641A" w:rsidP="003F641A">
      <w:pPr>
        <w:outlineLvl w:val="0"/>
        <w:rPr>
          <w:rFonts w:eastAsia="Calibri" w:cs="Times New Roman"/>
          <w:bCs/>
        </w:rPr>
      </w:pPr>
    </w:p>
    <w:p w14:paraId="1AFE786F" w14:textId="77777777" w:rsidR="003F641A" w:rsidRPr="003F641A" w:rsidRDefault="003F641A" w:rsidP="003F641A">
      <w:pPr>
        <w:tabs>
          <w:tab w:val="left" w:pos="6840"/>
        </w:tabs>
        <w:jc w:val="center"/>
        <w:outlineLvl w:val="0"/>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2B211E83" wp14:editId="309C4E66">
            <wp:extent cx="4022090" cy="256476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22090" cy="2564765"/>
                    </a:xfrm>
                    <a:prstGeom prst="rect">
                      <a:avLst/>
                    </a:prstGeom>
                    <a:noFill/>
                    <a:ln>
                      <a:noFill/>
                    </a:ln>
                  </pic:spPr>
                </pic:pic>
              </a:graphicData>
            </a:graphic>
          </wp:inline>
        </w:drawing>
      </w:r>
    </w:p>
    <w:p w14:paraId="2F5F06D4" w14:textId="77777777" w:rsidR="003F641A" w:rsidRPr="003F641A" w:rsidRDefault="003F641A" w:rsidP="003F641A">
      <w:pPr>
        <w:tabs>
          <w:tab w:val="left" w:pos="6840"/>
        </w:tabs>
        <w:jc w:val="both"/>
        <w:outlineLvl w:val="0"/>
        <w:rPr>
          <w:rFonts w:eastAsia="Calibri" w:cs="Times New Roman"/>
        </w:rPr>
      </w:pPr>
    </w:p>
    <w:p w14:paraId="6B95B7F3" w14:textId="77777777" w:rsidR="003F641A" w:rsidRPr="003F641A" w:rsidRDefault="003F641A" w:rsidP="003F641A">
      <w:pPr>
        <w:tabs>
          <w:tab w:val="left" w:pos="6840"/>
        </w:tabs>
        <w:jc w:val="both"/>
        <w:outlineLvl w:val="0"/>
        <w:rPr>
          <w:rFonts w:eastAsia="Calibri" w:cs="Times New Roman"/>
        </w:rPr>
      </w:pPr>
    </w:p>
    <w:p w14:paraId="69BEC34F" w14:textId="77777777" w:rsidR="003F641A" w:rsidRPr="003F641A" w:rsidRDefault="003F641A" w:rsidP="003F641A">
      <w:pPr>
        <w:jc w:val="both"/>
        <w:rPr>
          <w:rFonts w:eastAsia="Calibri"/>
          <w:b/>
          <w:bCs/>
          <w:iCs w:val="0"/>
        </w:rPr>
      </w:pPr>
      <w:r w:rsidRPr="003F641A">
        <w:rPr>
          <w:rFonts w:eastAsia="Calibri"/>
          <w:b/>
          <w:bCs/>
          <w:iCs w:val="0"/>
        </w:rPr>
        <w:t>Adquisiciones de las Actividades de Inversión efectivamente pagadas</w:t>
      </w:r>
    </w:p>
    <w:p w14:paraId="5657AC67" w14:textId="77777777" w:rsidR="003F641A" w:rsidRPr="003F641A" w:rsidRDefault="003F641A" w:rsidP="003F641A">
      <w:pPr>
        <w:numPr>
          <w:ilvl w:val="1"/>
          <w:numId w:val="0"/>
        </w:numPr>
        <w:jc w:val="both"/>
        <w:rPr>
          <w:rFonts w:eastAsia="Calibri" w:cs="Times New Roman"/>
          <w:b/>
          <w:bCs/>
        </w:rPr>
      </w:pPr>
    </w:p>
    <w:p w14:paraId="7C7DCB2C" w14:textId="77777777" w:rsidR="003F641A" w:rsidRPr="003F641A" w:rsidRDefault="003F641A" w:rsidP="003F641A">
      <w:pPr>
        <w:jc w:val="both"/>
        <w:outlineLvl w:val="0"/>
        <w:rPr>
          <w:rFonts w:eastAsia="Calibri" w:cs="Times New Roman"/>
          <w:bCs/>
        </w:rPr>
      </w:pPr>
      <w:r w:rsidRPr="003F641A">
        <w:rPr>
          <w:rFonts w:eastAsia="Calibri" w:cs="Times New Roman"/>
          <w:bCs/>
        </w:rPr>
        <w:t>Al 31 de diciembre de 2023, se realizaron adquisiciones de las Actividades de Inversión efectivamente pagadas, respecto del apartado de aplicación, mismas que a continuación se describen:</w:t>
      </w:r>
    </w:p>
    <w:p w14:paraId="00E85C70" w14:textId="77777777" w:rsidR="003F641A" w:rsidRPr="003F641A" w:rsidRDefault="003F641A" w:rsidP="003F641A">
      <w:pPr>
        <w:jc w:val="both"/>
        <w:outlineLvl w:val="0"/>
        <w:rPr>
          <w:rFonts w:eastAsia="Calibri" w:cs="Times New Roman"/>
          <w:bCs/>
        </w:rPr>
      </w:pPr>
    </w:p>
    <w:p w14:paraId="6D2ED521" w14:textId="77777777" w:rsidR="003F641A" w:rsidRPr="003F641A" w:rsidRDefault="003F641A" w:rsidP="003F641A">
      <w:pPr>
        <w:jc w:val="center"/>
        <w:outlineLvl w:val="0"/>
        <w:rPr>
          <w:rFonts w:eastAsia="Calibri" w:cs="Times New Roman"/>
          <w:bCs/>
        </w:rPr>
      </w:pPr>
      <w:r w:rsidRPr="003F641A">
        <w:rPr>
          <w:rFonts w:ascii="Calibri" w:eastAsia="Calibri" w:hAnsi="Calibri" w:cs="Times New Roman"/>
          <w:iCs w:val="0"/>
          <w:noProof/>
          <w:sz w:val="22"/>
          <w:szCs w:val="22"/>
          <w:lang w:val="es-MX" w:eastAsia="es-MX"/>
        </w:rPr>
        <w:lastRenderedPageBreak/>
        <w:drawing>
          <wp:inline distT="0" distB="0" distL="0" distR="0" wp14:anchorId="77786B7A" wp14:editId="61C03203">
            <wp:extent cx="4683760" cy="5307965"/>
            <wp:effectExtent l="0" t="0" r="254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83760" cy="5307965"/>
                    </a:xfrm>
                    <a:prstGeom prst="rect">
                      <a:avLst/>
                    </a:prstGeom>
                    <a:noFill/>
                    <a:ln>
                      <a:noFill/>
                    </a:ln>
                  </pic:spPr>
                </pic:pic>
              </a:graphicData>
            </a:graphic>
          </wp:inline>
        </w:drawing>
      </w:r>
    </w:p>
    <w:p w14:paraId="38B345C8" w14:textId="3CCA3A78" w:rsidR="003F641A" w:rsidRDefault="003F641A" w:rsidP="003F641A">
      <w:pPr>
        <w:jc w:val="both"/>
        <w:rPr>
          <w:rFonts w:eastAsia="Calibri"/>
          <w:b/>
          <w:bCs/>
          <w:iCs w:val="0"/>
        </w:rPr>
      </w:pPr>
    </w:p>
    <w:p w14:paraId="3531EC27" w14:textId="77777777" w:rsidR="003F641A" w:rsidRPr="003F641A" w:rsidRDefault="003F641A" w:rsidP="003F641A">
      <w:pPr>
        <w:jc w:val="both"/>
        <w:rPr>
          <w:rFonts w:eastAsia="Calibri"/>
          <w:b/>
          <w:bCs/>
          <w:iCs w:val="0"/>
        </w:rPr>
      </w:pPr>
    </w:p>
    <w:p w14:paraId="5088D329" w14:textId="77777777" w:rsidR="003F641A" w:rsidRPr="003F641A" w:rsidRDefault="003F641A" w:rsidP="003F641A">
      <w:pPr>
        <w:jc w:val="both"/>
        <w:rPr>
          <w:rFonts w:eastAsia="Calibri"/>
          <w:b/>
          <w:bCs/>
          <w:iCs w:val="0"/>
        </w:rPr>
      </w:pPr>
      <w:r w:rsidRPr="003F641A">
        <w:rPr>
          <w:rFonts w:eastAsia="Calibri"/>
          <w:b/>
          <w:bCs/>
          <w:iCs w:val="0"/>
        </w:rPr>
        <w:t>Conciliación de Flujos de Efectivo Netos</w:t>
      </w:r>
    </w:p>
    <w:p w14:paraId="2C19AD01" w14:textId="77777777" w:rsidR="003F641A" w:rsidRPr="003F641A" w:rsidRDefault="003F641A" w:rsidP="003F641A">
      <w:pPr>
        <w:numPr>
          <w:ilvl w:val="1"/>
          <w:numId w:val="0"/>
        </w:numPr>
        <w:jc w:val="both"/>
        <w:rPr>
          <w:rFonts w:eastAsia="Calibri" w:cs="Times New Roman"/>
          <w:b/>
          <w:bCs/>
        </w:rPr>
      </w:pPr>
    </w:p>
    <w:p w14:paraId="700EC26C" w14:textId="77777777" w:rsidR="003F641A" w:rsidRPr="003F641A" w:rsidRDefault="003F641A" w:rsidP="003F641A">
      <w:pPr>
        <w:jc w:val="both"/>
        <w:outlineLvl w:val="0"/>
        <w:rPr>
          <w:rFonts w:eastAsia="Calibri" w:cs="Times New Roman"/>
          <w:bCs/>
        </w:rPr>
      </w:pPr>
      <w:r w:rsidRPr="003F641A">
        <w:rPr>
          <w:rFonts w:eastAsia="Calibri" w:cs="Times New Roman"/>
          <w:bCs/>
        </w:rPr>
        <w:t>A continuación, se presenta la conciliación de los flujos de efectivo netos de las actividades de operación y saldos de resultados del ejercicio (ahorro/desahorro):</w:t>
      </w:r>
    </w:p>
    <w:p w14:paraId="014598E2" w14:textId="77777777" w:rsidR="003F641A" w:rsidRPr="003F641A" w:rsidRDefault="003F641A" w:rsidP="003F641A">
      <w:pPr>
        <w:tabs>
          <w:tab w:val="left" w:pos="6840"/>
        </w:tabs>
        <w:jc w:val="both"/>
        <w:outlineLvl w:val="0"/>
        <w:rPr>
          <w:rFonts w:eastAsia="Calibri" w:cs="Times New Roman"/>
        </w:rPr>
      </w:pPr>
    </w:p>
    <w:p w14:paraId="6606BC17" w14:textId="77777777" w:rsidR="003F641A" w:rsidRPr="003F641A" w:rsidRDefault="003F641A" w:rsidP="003F641A">
      <w:pPr>
        <w:tabs>
          <w:tab w:val="left" w:pos="6840"/>
        </w:tabs>
        <w:jc w:val="center"/>
        <w:outlineLvl w:val="0"/>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254B7F53" wp14:editId="5C604BA6">
            <wp:extent cx="4155440" cy="226758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55440" cy="2267585"/>
                    </a:xfrm>
                    <a:prstGeom prst="rect">
                      <a:avLst/>
                    </a:prstGeom>
                    <a:noFill/>
                    <a:ln>
                      <a:noFill/>
                    </a:ln>
                  </pic:spPr>
                </pic:pic>
              </a:graphicData>
            </a:graphic>
          </wp:inline>
        </w:drawing>
      </w:r>
    </w:p>
    <w:p w14:paraId="66D63334" w14:textId="77777777" w:rsidR="003F641A" w:rsidRPr="003F641A" w:rsidRDefault="003F641A" w:rsidP="003F641A">
      <w:pPr>
        <w:jc w:val="both"/>
        <w:rPr>
          <w:rFonts w:eastAsia="Calibri"/>
          <w:b/>
          <w:bCs/>
          <w:iCs w:val="0"/>
        </w:rPr>
      </w:pPr>
      <w:r w:rsidRPr="003F641A">
        <w:rPr>
          <w:rFonts w:eastAsia="Calibri"/>
          <w:b/>
          <w:bCs/>
          <w:iCs w:val="0"/>
        </w:rPr>
        <w:lastRenderedPageBreak/>
        <w:t>Conciliación entre los ingresos presupuestarios y contables, así como entre los egresos presupuestarios y los gastos contables</w:t>
      </w:r>
    </w:p>
    <w:p w14:paraId="42774761" w14:textId="77777777" w:rsidR="003F641A" w:rsidRPr="003F641A" w:rsidRDefault="003F641A" w:rsidP="003F641A">
      <w:pPr>
        <w:jc w:val="both"/>
        <w:outlineLvl w:val="0"/>
        <w:rPr>
          <w:rFonts w:eastAsia="Calibri" w:cs="Times New Roman"/>
          <w:b/>
          <w:bCs/>
        </w:rPr>
      </w:pPr>
    </w:p>
    <w:p w14:paraId="74FA26E2" w14:textId="77777777" w:rsidR="003F641A" w:rsidRPr="003F641A" w:rsidRDefault="003F641A" w:rsidP="003F641A">
      <w:pPr>
        <w:jc w:val="both"/>
        <w:outlineLvl w:val="0"/>
        <w:rPr>
          <w:rFonts w:eastAsia="Calibri" w:cs="Times New Roman"/>
          <w:bCs/>
        </w:rPr>
      </w:pPr>
      <w:r w:rsidRPr="003F641A">
        <w:rPr>
          <w:rFonts w:eastAsia="Calibri" w:cs="Times New Roman"/>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y Fideicomisos no Empresariales y no Financieros, correspondiente del 1 de enero al 31 de diciembre de 2023:</w:t>
      </w:r>
    </w:p>
    <w:p w14:paraId="3BB2935A" w14:textId="77777777" w:rsidR="003F641A" w:rsidRPr="003F641A" w:rsidRDefault="003F641A" w:rsidP="003F641A">
      <w:pPr>
        <w:tabs>
          <w:tab w:val="left" w:pos="6840"/>
        </w:tabs>
        <w:jc w:val="both"/>
        <w:outlineLvl w:val="0"/>
        <w:rPr>
          <w:rFonts w:eastAsia="Calibri" w:cs="Times New Roman"/>
        </w:rPr>
      </w:pPr>
    </w:p>
    <w:p w14:paraId="4CCBC939" w14:textId="77777777" w:rsidR="003F641A" w:rsidRPr="003F641A" w:rsidRDefault="003F641A" w:rsidP="003F641A">
      <w:pPr>
        <w:tabs>
          <w:tab w:val="left" w:pos="6840"/>
        </w:tabs>
        <w:jc w:val="center"/>
        <w:outlineLvl w:val="0"/>
        <w:rPr>
          <w:rFonts w:eastAsia="Calibri" w:cs="Times New Roman"/>
        </w:rPr>
      </w:pPr>
      <w:r w:rsidRPr="003F641A">
        <w:rPr>
          <w:rFonts w:ascii="Calibri" w:eastAsia="Calibri" w:hAnsi="Calibri" w:cs="Times New Roman"/>
          <w:iCs w:val="0"/>
          <w:noProof/>
          <w:sz w:val="22"/>
          <w:szCs w:val="22"/>
          <w:lang w:val="es-MX" w:eastAsia="en-US"/>
        </w:rPr>
        <w:drawing>
          <wp:inline distT="0" distB="0" distL="0" distR="0" wp14:anchorId="7542F77E" wp14:editId="251D94F6">
            <wp:extent cx="6331585" cy="3459766"/>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3459766"/>
                    </a:xfrm>
                    <a:prstGeom prst="rect">
                      <a:avLst/>
                    </a:prstGeom>
                    <a:noFill/>
                    <a:ln>
                      <a:noFill/>
                    </a:ln>
                  </pic:spPr>
                </pic:pic>
              </a:graphicData>
            </a:graphic>
          </wp:inline>
        </w:drawing>
      </w:r>
    </w:p>
    <w:p w14:paraId="40F36E44" w14:textId="77777777" w:rsidR="003F641A" w:rsidRPr="003F641A" w:rsidRDefault="003F641A" w:rsidP="003F641A">
      <w:pPr>
        <w:tabs>
          <w:tab w:val="left" w:pos="6840"/>
        </w:tabs>
        <w:jc w:val="both"/>
        <w:outlineLvl w:val="0"/>
        <w:rPr>
          <w:rFonts w:ascii="Calibri" w:eastAsia="Calibri" w:hAnsi="Calibri" w:cs="Times New Roman"/>
          <w:iCs w:val="0"/>
          <w:noProof/>
          <w:sz w:val="22"/>
          <w:szCs w:val="22"/>
          <w:lang w:val="es-MX" w:eastAsia="en-US"/>
        </w:rPr>
      </w:pPr>
    </w:p>
    <w:p w14:paraId="55DA0962" w14:textId="77777777" w:rsidR="003F641A" w:rsidRPr="003F641A" w:rsidRDefault="003F641A" w:rsidP="003F641A">
      <w:pPr>
        <w:tabs>
          <w:tab w:val="left" w:pos="6840"/>
        </w:tabs>
        <w:jc w:val="center"/>
        <w:outlineLvl w:val="0"/>
        <w:rPr>
          <w:rFonts w:eastAsia="Calibri" w:cs="Times New Roman"/>
        </w:rPr>
      </w:pPr>
      <w:r w:rsidRPr="003F641A">
        <w:rPr>
          <w:rFonts w:ascii="Calibri" w:eastAsia="Calibri" w:hAnsi="Calibri" w:cs="Times New Roman"/>
          <w:iCs w:val="0"/>
          <w:noProof/>
          <w:sz w:val="22"/>
          <w:szCs w:val="22"/>
          <w:lang w:val="es-MX" w:eastAsia="es-MX"/>
        </w:rPr>
        <w:lastRenderedPageBreak/>
        <w:drawing>
          <wp:inline distT="0" distB="0" distL="0" distR="0" wp14:anchorId="7AE86254" wp14:editId="40111CDD">
            <wp:extent cx="6331585" cy="524264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5242640"/>
                    </a:xfrm>
                    <a:prstGeom prst="rect">
                      <a:avLst/>
                    </a:prstGeom>
                    <a:noFill/>
                    <a:ln>
                      <a:noFill/>
                    </a:ln>
                  </pic:spPr>
                </pic:pic>
              </a:graphicData>
            </a:graphic>
          </wp:inline>
        </w:drawing>
      </w:r>
    </w:p>
    <w:p w14:paraId="28A6D6E9" w14:textId="77777777" w:rsidR="003F641A" w:rsidRPr="003F641A" w:rsidRDefault="003F641A" w:rsidP="003F641A">
      <w:pPr>
        <w:tabs>
          <w:tab w:val="left" w:pos="6840"/>
        </w:tabs>
        <w:jc w:val="both"/>
        <w:outlineLvl w:val="0"/>
        <w:rPr>
          <w:rFonts w:eastAsia="Calibri" w:cs="Times New Roman"/>
        </w:rPr>
      </w:pPr>
    </w:p>
    <w:p w14:paraId="238F681C" w14:textId="77777777" w:rsidR="003F641A" w:rsidRPr="003F641A" w:rsidRDefault="003F641A" w:rsidP="003F641A">
      <w:pPr>
        <w:tabs>
          <w:tab w:val="left" w:pos="6840"/>
        </w:tabs>
        <w:jc w:val="both"/>
        <w:outlineLvl w:val="0"/>
        <w:rPr>
          <w:rFonts w:eastAsia="Calibri" w:cs="Times New Roman"/>
        </w:rPr>
      </w:pPr>
    </w:p>
    <w:p w14:paraId="4F99CE3E" w14:textId="77777777" w:rsidR="003F641A" w:rsidRPr="003F641A" w:rsidRDefault="003F641A" w:rsidP="003F641A">
      <w:pPr>
        <w:jc w:val="both"/>
        <w:rPr>
          <w:rFonts w:cs="Times New Roman"/>
          <w:b/>
          <w:iCs w:val="0"/>
          <w:sz w:val="24"/>
          <w:szCs w:val="24"/>
        </w:rPr>
      </w:pPr>
      <w:r w:rsidRPr="003F641A">
        <w:rPr>
          <w:rFonts w:cs="Times New Roman"/>
          <w:b/>
          <w:iCs w:val="0"/>
          <w:sz w:val="24"/>
          <w:szCs w:val="24"/>
        </w:rPr>
        <w:t>Notas de memoria (cuentas de orden)</w:t>
      </w:r>
    </w:p>
    <w:p w14:paraId="5A89F2B8" w14:textId="77777777" w:rsidR="003F641A" w:rsidRPr="003F641A" w:rsidRDefault="003F641A" w:rsidP="003F641A">
      <w:pPr>
        <w:jc w:val="both"/>
        <w:outlineLvl w:val="0"/>
        <w:rPr>
          <w:rFonts w:eastAsia="Calibri" w:cs="Times New Roman"/>
          <w:b/>
          <w:bCs/>
        </w:rPr>
      </w:pPr>
    </w:p>
    <w:p w14:paraId="793160A5" w14:textId="77777777" w:rsidR="003F641A" w:rsidRPr="003F641A" w:rsidRDefault="003F641A" w:rsidP="003F641A">
      <w:pPr>
        <w:jc w:val="both"/>
        <w:outlineLvl w:val="0"/>
        <w:rPr>
          <w:rFonts w:eastAsia="Calibri" w:cs="Times New Roman"/>
          <w:bCs/>
        </w:rPr>
      </w:pPr>
      <w:r w:rsidRPr="003F641A">
        <w:rPr>
          <w:rFonts w:eastAsia="Calibri" w:cs="Times New Roman"/>
          <w:bCs/>
        </w:rPr>
        <w:t>Atendiendo a lo establecido en la Ley General de Contabilidad Gubernamental, para efectos del registro y control, el Consejo Nacional de Armonización Contable ha determinado Cuentas de Orden Contables, mismas que se presentan en el Plan de Cuentas.</w:t>
      </w:r>
    </w:p>
    <w:p w14:paraId="7655980B" w14:textId="77777777" w:rsidR="003F641A" w:rsidRPr="003F641A" w:rsidRDefault="003F641A" w:rsidP="003F641A">
      <w:pPr>
        <w:jc w:val="both"/>
        <w:outlineLvl w:val="0"/>
        <w:rPr>
          <w:rFonts w:eastAsia="Calibri" w:cs="Times New Roman"/>
          <w:bCs/>
        </w:rPr>
      </w:pPr>
    </w:p>
    <w:p w14:paraId="4CB6D2CF" w14:textId="77777777" w:rsidR="003F641A" w:rsidRPr="003F641A" w:rsidRDefault="003F641A" w:rsidP="003F641A">
      <w:pPr>
        <w:jc w:val="both"/>
        <w:outlineLvl w:val="0"/>
        <w:rPr>
          <w:rFonts w:eastAsia="Calibri" w:cs="Times New Roman"/>
          <w:bCs/>
        </w:rPr>
      </w:pPr>
      <w:r w:rsidRPr="003F641A">
        <w:rPr>
          <w:rFonts w:eastAsia="Calibri" w:cs="Times New Roman"/>
          <w:bCs/>
        </w:rPr>
        <w:t>Las notas de memoria, representan los movimientos de valores que no afecten o modifiquen el balance de las Entidades Paraestatales y Fideicomisos No Empresariales y No Financieros, sin embargo, su incorporación en libros es necesaria con fines de recordatorio contable, de control y en general sobre los aspectos administrativos, o bien, para consignar sus derechos o responsabilidades contingentes que puedan, o no, presentarse en el futuro.</w:t>
      </w:r>
    </w:p>
    <w:p w14:paraId="1CC22FEF" w14:textId="77777777" w:rsidR="003F641A" w:rsidRPr="003F641A" w:rsidRDefault="003F641A" w:rsidP="003F641A">
      <w:pPr>
        <w:jc w:val="both"/>
        <w:outlineLvl w:val="0"/>
        <w:rPr>
          <w:rFonts w:eastAsia="Calibri" w:cs="Times New Roman"/>
          <w:bCs/>
        </w:rPr>
      </w:pPr>
    </w:p>
    <w:p w14:paraId="60B5AA68" w14:textId="77777777" w:rsidR="003F641A" w:rsidRPr="003F641A" w:rsidRDefault="003F641A" w:rsidP="003F641A">
      <w:pPr>
        <w:jc w:val="both"/>
        <w:outlineLvl w:val="0"/>
        <w:rPr>
          <w:rFonts w:eastAsia="Calibri" w:cs="Times New Roman"/>
          <w:bCs/>
        </w:rPr>
      </w:pPr>
    </w:p>
    <w:p w14:paraId="345735AB" w14:textId="77777777" w:rsidR="003F641A" w:rsidRPr="003F641A" w:rsidRDefault="003F641A" w:rsidP="003F641A">
      <w:pPr>
        <w:spacing w:after="160" w:line="259" w:lineRule="auto"/>
        <w:rPr>
          <w:rFonts w:eastAsia="Calibri"/>
          <w:b/>
          <w:bCs/>
          <w:iCs w:val="0"/>
        </w:rPr>
      </w:pPr>
      <w:r w:rsidRPr="003F641A">
        <w:rPr>
          <w:rFonts w:ascii="Calibri" w:eastAsia="Calibri" w:hAnsi="Calibri" w:cs="Times New Roman"/>
          <w:iCs w:val="0"/>
          <w:sz w:val="22"/>
          <w:szCs w:val="22"/>
          <w:lang w:val="es-MX" w:eastAsia="en-US"/>
        </w:rPr>
        <w:br w:type="page"/>
      </w:r>
    </w:p>
    <w:p w14:paraId="10B2AB74" w14:textId="77777777" w:rsidR="003F641A" w:rsidRPr="003F641A" w:rsidRDefault="003F641A" w:rsidP="003F641A">
      <w:pPr>
        <w:jc w:val="both"/>
        <w:rPr>
          <w:rFonts w:eastAsia="Calibri"/>
          <w:b/>
          <w:bCs/>
          <w:iCs w:val="0"/>
          <w:caps/>
        </w:rPr>
      </w:pPr>
      <w:r w:rsidRPr="003F641A">
        <w:rPr>
          <w:rFonts w:eastAsia="Calibri"/>
          <w:b/>
          <w:bCs/>
          <w:iCs w:val="0"/>
        </w:rPr>
        <w:lastRenderedPageBreak/>
        <w:t>Cuentas de orden contables</w:t>
      </w:r>
    </w:p>
    <w:p w14:paraId="31683BD0" w14:textId="77777777" w:rsidR="003F641A" w:rsidRPr="003F641A" w:rsidRDefault="003F641A" w:rsidP="003F641A">
      <w:pPr>
        <w:jc w:val="both"/>
        <w:rPr>
          <w:rFonts w:eastAsia="Calibri" w:cs="Times New Roman"/>
          <w:b/>
          <w:bCs/>
          <w:i/>
          <w:iCs w:val="0"/>
        </w:rPr>
      </w:pPr>
    </w:p>
    <w:p w14:paraId="06CB56A9" w14:textId="77777777" w:rsidR="003F641A" w:rsidRPr="003F641A" w:rsidRDefault="003F641A" w:rsidP="003F641A">
      <w:pPr>
        <w:jc w:val="both"/>
        <w:rPr>
          <w:rFonts w:eastAsia="Calibri" w:cs="Times New Roman"/>
          <w:b/>
          <w:bCs/>
          <w:iCs w:val="0"/>
        </w:rPr>
      </w:pPr>
      <w:r w:rsidRPr="003F641A">
        <w:rPr>
          <w:rFonts w:eastAsia="Calibri" w:cs="Times New Roman"/>
          <w:b/>
          <w:bCs/>
          <w:iCs w:val="0"/>
        </w:rPr>
        <w:t xml:space="preserve">Avales y garantías </w:t>
      </w:r>
    </w:p>
    <w:p w14:paraId="41C8386F" w14:textId="77777777" w:rsidR="003F641A" w:rsidRPr="003F641A" w:rsidRDefault="003F641A" w:rsidP="003F641A">
      <w:pPr>
        <w:autoSpaceDE w:val="0"/>
        <w:autoSpaceDN w:val="0"/>
        <w:adjustRightInd w:val="0"/>
        <w:jc w:val="both"/>
        <w:rPr>
          <w:rFonts w:eastAsia="Calibri" w:cs="Times New Roman"/>
          <w:b/>
          <w:i/>
        </w:rPr>
      </w:pPr>
    </w:p>
    <w:p w14:paraId="3929C627"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Los avales y garantías derivado de la prestación de servicios que realizan los proveedores a las entidades, su monto asciende a 69.9 millones de pesos.</w:t>
      </w:r>
    </w:p>
    <w:p w14:paraId="12A3991E" w14:textId="77777777" w:rsidR="003F641A" w:rsidRPr="003F641A" w:rsidRDefault="003F641A" w:rsidP="003F641A">
      <w:pPr>
        <w:autoSpaceDE w:val="0"/>
        <w:autoSpaceDN w:val="0"/>
        <w:adjustRightInd w:val="0"/>
        <w:jc w:val="both"/>
        <w:rPr>
          <w:rFonts w:eastAsia="Calibri" w:cs="Times New Roman"/>
        </w:rPr>
      </w:pPr>
    </w:p>
    <w:p w14:paraId="2935CA4C" w14:textId="77777777" w:rsidR="003F641A" w:rsidRPr="003F641A" w:rsidRDefault="003F641A" w:rsidP="003F641A">
      <w:pPr>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6B8D16EF" wp14:editId="1EB5C810">
            <wp:extent cx="4304665" cy="1612900"/>
            <wp:effectExtent l="0" t="0" r="63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04665" cy="1612900"/>
                    </a:xfrm>
                    <a:prstGeom prst="rect">
                      <a:avLst/>
                    </a:prstGeom>
                    <a:noFill/>
                    <a:ln>
                      <a:noFill/>
                    </a:ln>
                  </pic:spPr>
                </pic:pic>
              </a:graphicData>
            </a:graphic>
          </wp:inline>
        </w:drawing>
      </w:r>
    </w:p>
    <w:p w14:paraId="0F9E9A82" w14:textId="77777777" w:rsidR="003F641A" w:rsidRPr="003F641A" w:rsidRDefault="003F641A" w:rsidP="003F641A">
      <w:pPr>
        <w:autoSpaceDE w:val="0"/>
        <w:autoSpaceDN w:val="0"/>
        <w:adjustRightInd w:val="0"/>
        <w:jc w:val="both"/>
        <w:rPr>
          <w:rFonts w:eastAsia="Calibri" w:cs="Times New Roman"/>
        </w:rPr>
      </w:pPr>
    </w:p>
    <w:p w14:paraId="529A18FC" w14:textId="77777777" w:rsidR="003F641A" w:rsidRPr="003F641A" w:rsidRDefault="003F641A" w:rsidP="003F641A">
      <w:pPr>
        <w:autoSpaceDE w:val="0"/>
        <w:autoSpaceDN w:val="0"/>
        <w:adjustRightInd w:val="0"/>
        <w:jc w:val="both"/>
        <w:rPr>
          <w:rFonts w:eastAsia="Calibri" w:cs="Times New Roman"/>
        </w:rPr>
      </w:pPr>
    </w:p>
    <w:p w14:paraId="7CBD5861" w14:textId="77777777" w:rsidR="003F641A" w:rsidRPr="003F641A" w:rsidRDefault="003F641A" w:rsidP="003F641A">
      <w:pPr>
        <w:jc w:val="both"/>
        <w:rPr>
          <w:rFonts w:eastAsia="Calibri"/>
          <w:b/>
          <w:bCs/>
          <w:iCs w:val="0"/>
        </w:rPr>
      </w:pPr>
      <w:r w:rsidRPr="003F641A">
        <w:rPr>
          <w:rFonts w:eastAsia="Calibri"/>
          <w:b/>
          <w:bCs/>
          <w:iCs w:val="0"/>
        </w:rPr>
        <w:t xml:space="preserve">Bienes en concesionados o en comodato </w:t>
      </w:r>
    </w:p>
    <w:p w14:paraId="06F48378" w14:textId="77777777" w:rsidR="003F641A" w:rsidRPr="003F641A" w:rsidRDefault="003F641A" w:rsidP="003F641A">
      <w:pPr>
        <w:jc w:val="both"/>
        <w:outlineLvl w:val="0"/>
        <w:rPr>
          <w:rFonts w:eastAsia="Calibri" w:cs="Times New Roman"/>
          <w:b/>
          <w:bCs/>
          <w:i/>
          <w:iCs w:val="0"/>
        </w:rPr>
      </w:pPr>
    </w:p>
    <w:p w14:paraId="6D643A61" w14:textId="77777777" w:rsidR="003F641A" w:rsidRPr="003F641A" w:rsidRDefault="003F641A" w:rsidP="003F641A">
      <w:pPr>
        <w:autoSpaceDE w:val="0"/>
        <w:autoSpaceDN w:val="0"/>
        <w:adjustRightInd w:val="0"/>
        <w:jc w:val="both"/>
        <w:rPr>
          <w:rFonts w:eastAsia="Calibri" w:cs="Times New Roman"/>
        </w:rPr>
      </w:pPr>
      <w:r w:rsidRPr="003F641A">
        <w:rPr>
          <w:rFonts w:eastAsia="Calibri" w:cs="Times New Roman"/>
        </w:rPr>
        <w:t>Los bienes en concesionados o en comodato, representan los bienes muebles que se otorgan entre entidades públicas, los cuales asciende a 342.9 millones de pesos.</w:t>
      </w:r>
    </w:p>
    <w:p w14:paraId="39208663" w14:textId="77777777" w:rsidR="003F641A" w:rsidRPr="003F641A" w:rsidRDefault="003F641A" w:rsidP="003F641A">
      <w:pPr>
        <w:autoSpaceDE w:val="0"/>
        <w:autoSpaceDN w:val="0"/>
        <w:adjustRightInd w:val="0"/>
        <w:jc w:val="both"/>
        <w:rPr>
          <w:rFonts w:eastAsia="Calibri" w:cs="Times New Roman"/>
        </w:rPr>
      </w:pPr>
    </w:p>
    <w:p w14:paraId="2FD05437" w14:textId="77777777" w:rsidR="003F641A" w:rsidRPr="003F641A" w:rsidRDefault="003F641A" w:rsidP="003F641A">
      <w:pPr>
        <w:autoSpaceDE w:val="0"/>
        <w:autoSpaceDN w:val="0"/>
        <w:adjustRightInd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3EC8BD64" wp14:editId="36168C48">
            <wp:extent cx="5203825" cy="1457325"/>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03825" cy="1457325"/>
                    </a:xfrm>
                    <a:prstGeom prst="rect">
                      <a:avLst/>
                    </a:prstGeom>
                    <a:noFill/>
                    <a:ln>
                      <a:noFill/>
                    </a:ln>
                  </pic:spPr>
                </pic:pic>
              </a:graphicData>
            </a:graphic>
          </wp:inline>
        </w:drawing>
      </w:r>
    </w:p>
    <w:p w14:paraId="663B8A0F" w14:textId="77777777" w:rsidR="003F641A" w:rsidRPr="003F641A" w:rsidRDefault="003F641A" w:rsidP="003F641A">
      <w:pPr>
        <w:autoSpaceDE w:val="0"/>
        <w:autoSpaceDN w:val="0"/>
        <w:adjustRightInd w:val="0"/>
        <w:jc w:val="both"/>
        <w:rPr>
          <w:rFonts w:eastAsia="Calibri" w:cs="Times New Roman"/>
        </w:rPr>
      </w:pPr>
    </w:p>
    <w:p w14:paraId="152C579D" w14:textId="77777777" w:rsidR="003F641A" w:rsidRPr="003F641A" w:rsidRDefault="003F641A" w:rsidP="003F641A">
      <w:pPr>
        <w:jc w:val="both"/>
        <w:rPr>
          <w:rFonts w:eastAsia="Calibri"/>
          <w:b/>
          <w:bCs/>
          <w:iCs w:val="0"/>
        </w:rPr>
      </w:pPr>
    </w:p>
    <w:p w14:paraId="6129E6AB" w14:textId="77777777" w:rsidR="003F641A" w:rsidRPr="003F641A" w:rsidRDefault="003F641A" w:rsidP="003F641A">
      <w:pPr>
        <w:jc w:val="both"/>
        <w:rPr>
          <w:b/>
          <w:bCs/>
          <w:iCs w:val="0"/>
        </w:rPr>
      </w:pPr>
      <w:r w:rsidRPr="003F641A">
        <w:rPr>
          <w:b/>
          <w:bCs/>
          <w:iCs w:val="0"/>
        </w:rPr>
        <w:t>Cuentas de orden presupuestario</w:t>
      </w:r>
    </w:p>
    <w:p w14:paraId="1F8316A6" w14:textId="77777777" w:rsidR="003F641A" w:rsidRPr="003F641A" w:rsidRDefault="003F641A" w:rsidP="003F641A">
      <w:pPr>
        <w:jc w:val="both"/>
        <w:rPr>
          <w:rFonts w:eastAsia="Calibri"/>
          <w:b/>
          <w:bCs/>
          <w:iCs w:val="0"/>
          <w:caps/>
        </w:rPr>
      </w:pPr>
    </w:p>
    <w:p w14:paraId="0308A0B2" w14:textId="77777777" w:rsidR="003F641A" w:rsidRPr="003F641A" w:rsidRDefault="003F641A" w:rsidP="003F641A">
      <w:pPr>
        <w:jc w:val="both"/>
        <w:rPr>
          <w:rFonts w:eastAsia="Calibri"/>
          <w:b/>
          <w:bCs/>
          <w:iCs w:val="0"/>
        </w:rPr>
      </w:pPr>
      <w:r w:rsidRPr="003F641A">
        <w:rPr>
          <w:rFonts w:eastAsia="Calibri"/>
          <w:b/>
          <w:bCs/>
          <w:iCs w:val="0"/>
        </w:rPr>
        <w:t>Cuentas de ingresos</w:t>
      </w:r>
    </w:p>
    <w:p w14:paraId="7D097D97" w14:textId="77777777" w:rsidR="003F641A" w:rsidRPr="003F641A" w:rsidRDefault="003F641A" w:rsidP="003F641A">
      <w:pPr>
        <w:jc w:val="both"/>
        <w:rPr>
          <w:rFonts w:eastAsia="Calibri" w:cs="Times New Roman"/>
          <w:bCs/>
        </w:rPr>
      </w:pPr>
    </w:p>
    <w:p w14:paraId="7023FB26" w14:textId="77777777" w:rsidR="003F641A" w:rsidRPr="003F641A" w:rsidRDefault="003F641A" w:rsidP="003F641A">
      <w:pPr>
        <w:jc w:val="both"/>
        <w:outlineLvl w:val="0"/>
        <w:rPr>
          <w:rFonts w:eastAsia="Calibri" w:cs="Times New Roman"/>
        </w:rPr>
      </w:pPr>
      <w:r w:rsidRPr="003F641A">
        <w:rPr>
          <w:rFonts w:eastAsia="Calibri" w:cs="Times New Roman"/>
        </w:rPr>
        <w:t>Al inicio del ejercicio 2023, se aprobó un presupuesto de ingresos de 23 mil 856.3 millones de pesos, para las Entidades Paraestatales y Fideicomisos No Empresariales y No Financieros, sin embargo, las estrategias implementadas para obtener mayores recursos lograron un incremento de 10 mil 352.6 millones de pesos, al presupuesto estimado para el periodo que se informa.</w:t>
      </w:r>
    </w:p>
    <w:p w14:paraId="2F66C3F0" w14:textId="77777777" w:rsidR="003F641A" w:rsidRPr="003F641A" w:rsidRDefault="003F641A" w:rsidP="003F641A">
      <w:pPr>
        <w:jc w:val="both"/>
        <w:outlineLvl w:val="0"/>
        <w:rPr>
          <w:rFonts w:eastAsia="Calibri" w:cs="Times New Roman"/>
        </w:rPr>
      </w:pPr>
    </w:p>
    <w:p w14:paraId="14778DA8" w14:textId="77777777" w:rsidR="003F641A" w:rsidRPr="003F641A" w:rsidRDefault="003F641A" w:rsidP="003F641A">
      <w:pPr>
        <w:jc w:val="both"/>
        <w:outlineLvl w:val="0"/>
        <w:rPr>
          <w:rFonts w:eastAsia="Calibri" w:cs="Times New Roman"/>
        </w:rPr>
      </w:pPr>
      <w:r w:rsidRPr="003F641A">
        <w:rPr>
          <w:rFonts w:eastAsia="Calibri" w:cs="Times New Roman"/>
        </w:rPr>
        <w:t>Los ingresos recaudados durante el periodo del 1 de enero al 31 de diciembre de 2023 ascendieron a la cantidad de 34 mil 208.9 millones de pesos, representando un avance mayor del 43.4 %, respecto al programado para el periodo que se informa.</w:t>
      </w:r>
    </w:p>
    <w:p w14:paraId="498213BD" w14:textId="77777777" w:rsidR="003F641A" w:rsidRPr="003F641A" w:rsidRDefault="003F641A" w:rsidP="003F641A">
      <w:pPr>
        <w:jc w:val="both"/>
        <w:outlineLvl w:val="0"/>
        <w:rPr>
          <w:rFonts w:eastAsia="Calibri" w:cs="Times New Roman"/>
        </w:rPr>
      </w:pPr>
    </w:p>
    <w:p w14:paraId="1E3C0BDC" w14:textId="77777777" w:rsidR="003F641A" w:rsidRPr="003F641A" w:rsidRDefault="003F641A" w:rsidP="003F641A">
      <w:pPr>
        <w:jc w:val="both"/>
        <w:outlineLvl w:val="0"/>
        <w:rPr>
          <w:rFonts w:eastAsia="Calibri" w:cs="Times New Roman"/>
        </w:rPr>
      </w:pPr>
      <w:r w:rsidRPr="003F641A">
        <w:rPr>
          <w:rFonts w:eastAsia="Calibri" w:cs="Times New Roman"/>
        </w:rPr>
        <w:t>Los ingresos principales fueron derivados de las ministraciones radicadas del Gobierno Estatal reflejadas en el rubro de participaciones y aportaciones, convenios, incentivos derivados de la colaboración fiscal y fondos distintos de aportaciones que alcanzó un monto de 19 mil 420.2 millones de pesos en diferentes fuentes de financiamiento con recursos del ejercicio, contribuyendo con el 56.8 % de los ingresos registrados; asimismo transferencias, asignaciones, subsidios y subvenciones, y pensiones y jubilaciones por 14 mil 556.1 millones de pesos, con el 42.6 % del total de ingresos recaudados.</w:t>
      </w:r>
    </w:p>
    <w:p w14:paraId="009FB45E" w14:textId="77777777" w:rsidR="003F641A" w:rsidRPr="003F641A" w:rsidRDefault="003F641A" w:rsidP="003F641A">
      <w:pPr>
        <w:jc w:val="both"/>
        <w:outlineLvl w:val="0"/>
        <w:rPr>
          <w:rFonts w:eastAsia="Calibri" w:cs="Times New Roman"/>
        </w:rPr>
      </w:pPr>
    </w:p>
    <w:p w14:paraId="09D72B88" w14:textId="77777777" w:rsidR="003F641A" w:rsidRPr="003F641A" w:rsidRDefault="003F641A" w:rsidP="003F641A">
      <w:pPr>
        <w:jc w:val="both"/>
        <w:outlineLvl w:val="0"/>
        <w:rPr>
          <w:rFonts w:eastAsia="Calibri" w:cs="Times New Roman"/>
        </w:rPr>
      </w:pPr>
      <w:r w:rsidRPr="003F641A">
        <w:rPr>
          <w:rFonts w:eastAsia="Calibri" w:cs="Times New Roman"/>
        </w:rPr>
        <w:t>A continuación, se presenta el estado analítico de ingresos presupuestarios de acuerdo de la clasificación indicada en las notas de memoria de los estados financieros emitidos por el CONAC.</w:t>
      </w:r>
    </w:p>
    <w:p w14:paraId="0722F611" w14:textId="77777777" w:rsidR="003F641A" w:rsidRPr="003F641A" w:rsidRDefault="003F641A" w:rsidP="003F641A">
      <w:pPr>
        <w:jc w:val="center"/>
        <w:rPr>
          <w:rFonts w:eastAsia="Calibri" w:cs="Times New Roman"/>
          <w:bCs/>
        </w:rPr>
      </w:pPr>
      <w:r w:rsidRPr="003F641A">
        <w:rPr>
          <w:rFonts w:ascii="Calibri" w:eastAsia="Calibri" w:hAnsi="Calibri" w:cs="Times New Roman"/>
          <w:iCs w:val="0"/>
          <w:noProof/>
          <w:sz w:val="22"/>
          <w:szCs w:val="22"/>
          <w:lang w:val="es-MX" w:eastAsia="en-US"/>
        </w:rPr>
        <w:lastRenderedPageBreak/>
        <w:drawing>
          <wp:inline distT="0" distB="0" distL="0" distR="0" wp14:anchorId="1A106FAA" wp14:editId="03988781">
            <wp:extent cx="6331585" cy="2540719"/>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2540719"/>
                    </a:xfrm>
                    <a:prstGeom prst="rect">
                      <a:avLst/>
                    </a:prstGeom>
                    <a:noFill/>
                    <a:ln>
                      <a:noFill/>
                    </a:ln>
                  </pic:spPr>
                </pic:pic>
              </a:graphicData>
            </a:graphic>
          </wp:inline>
        </w:drawing>
      </w:r>
    </w:p>
    <w:p w14:paraId="63469632" w14:textId="77777777" w:rsidR="003F641A" w:rsidRPr="003F641A" w:rsidRDefault="003F641A" w:rsidP="003F641A">
      <w:pPr>
        <w:numPr>
          <w:ilvl w:val="1"/>
          <w:numId w:val="0"/>
        </w:numPr>
        <w:jc w:val="both"/>
        <w:rPr>
          <w:rFonts w:cs="Times New Roman"/>
          <w:b/>
          <w:i/>
        </w:rPr>
      </w:pPr>
    </w:p>
    <w:p w14:paraId="25FCDE36" w14:textId="77777777" w:rsidR="003F641A" w:rsidRPr="003F641A" w:rsidRDefault="003F641A" w:rsidP="003F641A">
      <w:pPr>
        <w:numPr>
          <w:ilvl w:val="1"/>
          <w:numId w:val="0"/>
        </w:numPr>
        <w:jc w:val="both"/>
        <w:rPr>
          <w:rFonts w:cs="Times New Roman"/>
          <w:b/>
          <w:i/>
        </w:rPr>
      </w:pPr>
    </w:p>
    <w:p w14:paraId="70E577E9" w14:textId="77777777" w:rsidR="003F641A" w:rsidRPr="003F641A" w:rsidRDefault="003F641A" w:rsidP="003F641A">
      <w:pPr>
        <w:jc w:val="both"/>
        <w:rPr>
          <w:rFonts w:eastAsia="Calibri"/>
          <w:b/>
          <w:bCs/>
          <w:iCs w:val="0"/>
        </w:rPr>
      </w:pPr>
      <w:r w:rsidRPr="003F641A">
        <w:rPr>
          <w:rFonts w:eastAsia="Calibri"/>
          <w:b/>
          <w:bCs/>
          <w:iCs w:val="0"/>
        </w:rPr>
        <w:t>Cuentas de egresos</w:t>
      </w:r>
    </w:p>
    <w:p w14:paraId="2E360BA0" w14:textId="77777777" w:rsidR="003F641A" w:rsidRPr="003F641A" w:rsidRDefault="003F641A" w:rsidP="003F641A">
      <w:pPr>
        <w:jc w:val="both"/>
        <w:outlineLvl w:val="0"/>
        <w:rPr>
          <w:rFonts w:eastAsia="Calibri" w:cs="Times New Roman"/>
        </w:rPr>
      </w:pPr>
    </w:p>
    <w:p w14:paraId="6A68B4D7" w14:textId="77777777" w:rsidR="003F641A" w:rsidRPr="003F641A" w:rsidRDefault="003F641A" w:rsidP="003F641A">
      <w:pPr>
        <w:jc w:val="both"/>
        <w:outlineLvl w:val="0"/>
        <w:rPr>
          <w:rFonts w:eastAsia="Calibri" w:cs="Times New Roman"/>
          <w:b/>
          <w:bCs/>
        </w:rPr>
      </w:pPr>
      <w:r w:rsidRPr="003F641A">
        <w:rPr>
          <w:rFonts w:eastAsia="Calibri" w:cs="Times New Roman"/>
        </w:rPr>
        <w:t>El estado del ejercicio del presupuesto de egresos, refleja al 31 de diciembre de 2023, una modificación neta positiva al Presupuesto Aprobado Anual de 14 mil 760.4 millones de pesos representando un 62 % mayor, llegando a un monto de 38 mil 575.1 millones de pesos, al cierre del periodo que se informa.</w:t>
      </w:r>
    </w:p>
    <w:p w14:paraId="4DEE9364" w14:textId="77777777" w:rsidR="003F641A" w:rsidRPr="003F641A" w:rsidRDefault="003F641A" w:rsidP="003F641A">
      <w:pPr>
        <w:jc w:val="both"/>
        <w:outlineLvl w:val="0"/>
        <w:rPr>
          <w:rFonts w:eastAsia="Calibri" w:cs="Times New Roman"/>
        </w:rPr>
      </w:pPr>
    </w:p>
    <w:p w14:paraId="549943C3" w14:textId="77777777" w:rsidR="003F641A" w:rsidRPr="003F641A" w:rsidRDefault="003F641A" w:rsidP="003F641A">
      <w:pPr>
        <w:jc w:val="both"/>
        <w:outlineLvl w:val="0"/>
        <w:rPr>
          <w:rFonts w:eastAsia="Calibri" w:cs="Times New Roman"/>
        </w:rPr>
      </w:pPr>
      <w:r w:rsidRPr="003F641A">
        <w:rPr>
          <w:rFonts w:eastAsia="Calibri" w:cs="Times New Roman"/>
        </w:rPr>
        <w:t>El presupuesto devengado a la fecha que se informa fue de 38 mil 263.7 millones de pesos que representa el 60.7 % mayor de los recursos programados al inicio del ejercicio; de los cuales se aplicaron 16 mil 418.5 millones de pesos en servicios personales, equivalente al 42.9 % del devengo total; así como servicios generales refleja la cantidad de 11 mil 113.0 millones de pesos representando el 29 % del devengo total, así como; así también la cantidad de 4 mil 603.3 millones de pesos en inversiones financieras y otros pasivos equivalente al 12 % del devengado total y finalmente en materiales y suministros por 4 mil 68.6 millones de pesos con 10.6 % del total devengado, entre los rubros más sobresalientes.</w:t>
      </w:r>
    </w:p>
    <w:p w14:paraId="16C960EA" w14:textId="77777777" w:rsidR="003F641A" w:rsidRPr="003F641A" w:rsidRDefault="003F641A" w:rsidP="003F641A">
      <w:pPr>
        <w:jc w:val="both"/>
        <w:outlineLvl w:val="0"/>
        <w:rPr>
          <w:rFonts w:eastAsia="Calibri" w:cs="Times New Roman"/>
          <w:b/>
          <w:bCs/>
        </w:rPr>
      </w:pPr>
    </w:p>
    <w:p w14:paraId="4697B904" w14:textId="77777777" w:rsidR="003F641A" w:rsidRPr="003F641A" w:rsidRDefault="003F641A" w:rsidP="003F641A">
      <w:pPr>
        <w:jc w:val="center"/>
        <w:outlineLvl w:val="0"/>
        <w:rPr>
          <w:rFonts w:eastAsia="Calibri" w:cs="Times New Roman"/>
          <w:b/>
          <w:bCs/>
        </w:rPr>
      </w:pPr>
      <w:r w:rsidRPr="003F641A">
        <w:rPr>
          <w:rFonts w:ascii="Calibri" w:eastAsia="Calibri" w:hAnsi="Calibri" w:cs="Times New Roman"/>
          <w:iCs w:val="0"/>
          <w:noProof/>
          <w:sz w:val="22"/>
          <w:szCs w:val="22"/>
          <w:lang w:val="es-MX" w:eastAsia="es-MX"/>
        </w:rPr>
        <w:drawing>
          <wp:inline distT="0" distB="0" distL="0" distR="0" wp14:anchorId="0D9322ED" wp14:editId="60AFA760">
            <wp:extent cx="6331585" cy="2640416"/>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2640416"/>
                    </a:xfrm>
                    <a:prstGeom prst="rect">
                      <a:avLst/>
                    </a:prstGeom>
                    <a:noFill/>
                    <a:ln>
                      <a:noFill/>
                    </a:ln>
                  </pic:spPr>
                </pic:pic>
              </a:graphicData>
            </a:graphic>
          </wp:inline>
        </w:drawing>
      </w:r>
    </w:p>
    <w:p w14:paraId="45A19749" w14:textId="77777777" w:rsidR="003F641A" w:rsidRPr="003F641A" w:rsidRDefault="003F641A" w:rsidP="003F641A">
      <w:pPr>
        <w:jc w:val="both"/>
        <w:outlineLvl w:val="0"/>
        <w:rPr>
          <w:rFonts w:eastAsia="Calibri" w:cs="Times New Roman"/>
          <w:b/>
          <w:bCs/>
        </w:rPr>
      </w:pPr>
    </w:p>
    <w:p w14:paraId="63359446" w14:textId="77777777" w:rsidR="003F641A" w:rsidRPr="003F641A" w:rsidRDefault="003F641A" w:rsidP="003F641A">
      <w:pPr>
        <w:jc w:val="both"/>
        <w:outlineLvl w:val="0"/>
        <w:rPr>
          <w:rFonts w:eastAsia="Calibri" w:cs="Times New Roman"/>
          <w:b/>
          <w:bCs/>
        </w:rPr>
      </w:pPr>
    </w:p>
    <w:p w14:paraId="19862995" w14:textId="77777777" w:rsidR="003F641A" w:rsidRPr="003F641A" w:rsidRDefault="003F641A" w:rsidP="003F641A">
      <w:pPr>
        <w:jc w:val="both"/>
        <w:rPr>
          <w:rFonts w:eastAsia="Calibri"/>
          <w:b/>
          <w:bCs/>
          <w:iCs w:val="0"/>
        </w:rPr>
      </w:pPr>
      <w:bookmarkStart w:id="5" w:name="_Hlk125467774"/>
    </w:p>
    <w:p w14:paraId="213A358B" w14:textId="77777777" w:rsidR="003F641A" w:rsidRDefault="003F641A">
      <w:pPr>
        <w:rPr>
          <w:rFonts w:eastAsia="Calibri"/>
          <w:b/>
          <w:bCs/>
          <w:iCs w:val="0"/>
        </w:rPr>
      </w:pPr>
      <w:r>
        <w:rPr>
          <w:rFonts w:eastAsia="Calibri"/>
          <w:b/>
          <w:bCs/>
          <w:iCs w:val="0"/>
        </w:rPr>
        <w:br w:type="page"/>
      </w:r>
    </w:p>
    <w:p w14:paraId="4AF5FF09" w14:textId="6C054523" w:rsidR="003F641A" w:rsidRPr="003F641A" w:rsidRDefault="003F641A" w:rsidP="003F641A">
      <w:pPr>
        <w:jc w:val="both"/>
        <w:rPr>
          <w:rFonts w:eastAsia="Calibri"/>
          <w:b/>
          <w:bCs/>
          <w:iCs w:val="0"/>
        </w:rPr>
      </w:pPr>
      <w:r w:rsidRPr="003F641A">
        <w:rPr>
          <w:rFonts w:eastAsia="Calibri"/>
          <w:b/>
          <w:bCs/>
          <w:iCs w:val="0"/>
        </w:rPr>
        <w:lastRenderedPageBreak/>
        <w:t>Razones financieras</w:t>
      </w:r>
    </w:p>
    <w:p w14:paraId="5A45E82A" w14:textId="77777777" w:rsidR="003F641A" w:rsidRPr="003F641A" w:rsidRDefault="003F641A" w:rsidP="003F641A">
      <w:pPr>
        <w:tabs>
          <w:tab w:val="left" w:pos="5280"/>
        </w:tabs>
        <w:jc w:val="both"/>
      </w:pPr>
    </w:p>
    <w:bookmarkEnd w:id="5"/>
    <w:p w14:paraId="46E882AD" w14:textId="77777777" w:rsidR="003F641A" w:rsidRPr="003F641A" w:rsidRDefault="003F641A" w:rsidP="003F641A">
      <w:pPr>
        <w:autoSpaceDE w:val="0"/>
        <w:autoSpaceDN w:val="0"/>
        <w:adjustRightInd w:val="0"/>
        <w:jc w:val="both"/>
        <w:outlineLvl w:val="0"/>
        <w:rPr>
          <w:rFonts w:eastAsia="Calibri" w:cs="Times New Roman"/>
        </w:rPr>
      </w:pPr>
      <w:r w:rsidRPr="003F641A">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31 de diciembre del ejercicio 2023, se aplicaron las siguientes razones financieras:</w:t>
      </w:r>
    </w:p>
    <w:p w14:paraId="60EA0482" w14:textId="77777777" w:rsidR="003F641A" w:rsidRPr="003F641A" w:rsidRDefault="003F641A" w:rsidP="003F641A">
      <w:pPr>
        <w:autoSpaceDE w:val="0"/>
        <w:autoSpaceDN w:val="0"/>
        <w:adjustRightInd w:val="0"/>
        <w:jc w:val="both"/>
        <w:outlineLvl w:val="0"/>
        <w:rPr>
          <w:rFonts w:eastAsia="Calibri" w:cs="Times New Roman"/>
          <w:bCs/>
        </w:rPr>
      </w:pPr>
    </w:p>
    <w:p w14:paraId="0CBBCB04" w14:textId="77777777" w:rsidR="003F641A" w:rsidRPr="003F641A" w:rsidRDefault="003F641A" w:rsidP="003F641A">
      <w:pPr>
        <w:autoSpaceDE w:val="0"/>
        <w:autoSpaceDN w:val="0"/>
        <w:adjustRightInd w:val="0"/>
        <w:jc w:val="center"/>
        <w:outlineLvl w:val="0"/>
        <w:rPr>
          <w:rFonts w:eastAsia="Calibri" w:cs="Times New Roman"/>
          <w:b/>
          <w:bCs/>
        </w:rPr>
      </w:pPr>
      <w:r w:rsidRPr="003F641A">
        <w:rPr>
          <w:rFonts w:ascii="Calibri" w:eastAsia="Calibri" w:hAnsi="Calibri" w:cs="Times New Roman"/>
          <w:iCs w:val="0"/>
          <w:noProof/>
          <w:sz w:val="22"/>
          <w:szCs w:val="22"/>
          <w:lang w:val="es-MX" w:eastAsia="es-MX"/>
        </w:rPr>
        <w:drawing>
          <wp:inline distT="0" distB="0" distL="0" distR="0" wp14:anchorId="4DB50071" wp14:editId="33DEBE7A">
            <wp:extent cx="6331585" cy="2365964"/>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2365964"/>
                    </a:xfrm>
                    <a:prstGeom prst="rect">
                      <a:avLst/>
                    </a:prstGeom>
                    <a:noFill/>
                    <a:ln>
                      <a:noFill/>
                    </a:ln>
                  </pic:spPr>
                </pic:pic>
              </a:graphicData>
            </a:graphic>
          </wp:inline>
        </w:drawing>
      </w:r>
    </w:p>
    <w:p w14:paraId="1B681F7D" w14:textId="77777777" w:rsidR="003F641A" w:rsidRPr="003F641A" w:rsidRDefault="003F641A" w:rsidP="003F641A">
      <w:pPr>
        <w:autoSpaceDE w:val="0"/>
        <w:autoSpaceDN w:val="0"/>
        <w:adjustRightInd w:val="0"/>
        <w:jc w:val="both"/>
        <w:outlineLvl w:val="0"/>
        <w:rPr>
          <w:rFonts w:eastAsia="Calibri" w:cs="Times New Roman"/>
          <w:bCs/>
        </w:rPr>
      </w:pPr>
    </w:p>
    <w:p w14:paraId="048CB962" w14:textId="77777777" w:rsidR="003F641A" w:rsidRPr="003F641A" w:rsidRDefault="003F641A" w:rsidP="003F641A">
      <w:pPr>
        <w:autoSpaceDE w:val="0"/>
        <w:autoSpaceDN w:val="0"/>
        <w:adjustRightInd w:val="0"/>
        <w:jc w:val="both"/>
        <w:outlineLvl w:val="0"/>
        <w:rPr>
          <w:rFonts w:eastAsia="Calibri" w:cs="Times New Roman"/>
          <w:bCs/>
        </w:rPr>
      </w:pPr>
    </w:p>
    <w:p w14:paraId="25B09635" w14:textId="77777777" w:rsidR="003F641A" w:rsidRPr="003F641A" w:rsidRDefault="003F641A" w:rsidP="003F641A">
      <w:pPr>
        <w:autoSpaceDE w:val="0"/>
        <w:autoSpaceDN w:val="0"/>
        <w:adjustRightInd w:val="0"/>
        <w:jc w:val="both"/>
        <w:outlineLvl w:val="0"/>
        <w:rPr>
          <w:rFonts w:eastAsia="Calibri" w:cs="Times New Roman"/>
        </w:rPr>
      </w:pPr>
      <w:r w:rsidRPr="003F641A">
        <w:rPr>
          <w:rFonts w:eastAsia="Calibri" w:cs="Times New Roman"/>
        </w:rPr>
        <w:t xml:space="preserve">Los estados financieros muestran un resultado de 0.9 pesos de </w:t>
      </w:r>
      <w:r w:rsidRPr="003F641A">
        <w:rPr>
          <w:rFonts w:eastAsia="Calibri" w:cs="Times New Roman"/>
          <w:b/>
        </w:rPr>
        <w:t>liquidez y disponibilidad inmediata</w:t>
      </w:r>
      <w:r w:rsidRPr="003F641A">
        <w:rPr>
          <w:rFonts w:eastAsia="Calibri" w:cs="Times New Roman"/>
        </w:rPr>
        <w:t xml:space="preserve"> para hacer frente a cada peso de los compromisos a corto plazo. </w:t>
      </w:r>
    </w:p>
    <w:p w14:paraId="027F2C2D" w14:textId="77777777" w:rsidR="003F641A" w:rsidRPr="003F641A" w:rsidRDefault="003F641A" w:rsidP="003F641A">
      <w:pPr>
        <w:autoSpaceDE w:val="0"/>
        <w:autoSpaceDN w:val="0"/>
        <w:adjustRightInd w:val="0"/>
        <w:jc w:val="both"/>
        <w:outlineLvl w:val="0"/>
        <w:rPr>
          <w:rFonts w:eastAsia="Calibri" w:cs="Times New Roman"/>
        </w:rPr>
      </w:pPr>
    </w:p>
    <w:p w14:paraId="63CE614F" w14:textId="77777777" w:rsidR="003F641A" w:rsidRPr="003F641A" w:rsidRDefault="003F641A" w:rsidP="003F641A">
      <w:pPr>
        <w:autoSpaceDE w:val="0"/>
        <w:autoSpaceDN w:val="0"/>
        <w:adjustRightInd w:val="0"/>
        <w:jc w:val="both"/>
        <w:outlineLvl w:val="0"/>
        <w:rPr>
          <w:rFonts w:eastAsia="Calibri" w:cs="Times New Roman"/>
        </w:rPr>
      </w:pPr>
      <w:r w:rsidRPr="003F641A">
        <w:rPr>
          <w:rFonts w:eastAsia="Calibri" w:cs="Times New Roman"/>
        </w:rPr>
        <w:t xml:space="preserve">La razón de </w:t>
      </w:r>
      <w:r w:rsidRPr="003F641A">
        <w:rPr>
          <w:rFonts w:eastAsia="Calibri" w:cs="Times New Roman"/>
          <w:b/>
        </w:rPr>
        <w:t>solvencia</w:t>
      </w:r>
      <w:r w:rsidRPr="003F641A">
        <w:rPr>
          <w:rFonts w:eastAsia="Calibri" w:cs="Times New Roman"/>
        </w:rPr>
        <w:t xml:space="preserve"> muestra que las entidades cuentan con 1.0 pesos para cubrir cada peso que debe por sus compromisos a corto plazo. </w:t>
      </w:r>
    </w:p>
    <w:p w14:paraId="7F77FEEC" w14:textId="77777777" w:rsidR="003F641A" w:rsidRPr="003F641A" w:rsidRDefault="003F641A" w:rsidP="003F641A">
      <w:pPr>
        <w:autoSpaceDE w:val="0"/>
        <w:autoSpaceDN w:val="0"/>
        <w:adjustRightInd w:val="0"/>
        <w:jc w:val="both"/>
        <w:outlineLvl w:val="0"/>
        <w:rPr>
          <w:rFonts w:eastAsia="Calibri" w:cs="Times New Roman"/>
        </w:rPr>
      </w:pPr>
    </w:p>
    <w:p w14:paraId="397B91CE" w14:textId="77777777" w:rsidR="003F641A" w:rsidRPr="003F641A" w:rsidRDefault="003F641A" w:rsidP="003F641A">
      <w:pPr>
        <w:autoSpaceDE w:val="0"/>
        <w:autoSpaceDN w:val="0"/>
        <w:adjustRightInd w:val="0"/>
        <w:jc w:val="both"/>
        <w:outlineLvl w:val="0"/>
        <w:rPr>
          <w:rFonts w:eastAsia="Calibri" w:cs="Times New Roman"/>
        </w:rPr>
      </w:pPr>
      <w:r w:rsidRPr="003F641A">
        <w:rPr>
          <w:rFonts w:eastAsia="Calibri" w:cs="Times New Roman"/>
        </w:rPr>
        <w:t>La</w:t>
      </w:r>
      <w:r w:rsidRPr="003F641A">
        <w:rPr>
          <w:rFonts w:eastAsia="Calibri" w:cs="Times New Roman"/>
          <w:b/>
        </w:rPr>
        <w:t xml:space="preserve"> prueba del ácido</w:t>
      </w:r>
      <w:r w:rsidRPr="003F641A">
        <w:rPr>
          <w:rFonts w:eastAsia="Calibri" w:cs="Times New Roman"/>
        </w:rPr>
        <w:t xml:space="preserve"> indica que las entidades cuentan con 1.0 pesos de activos de conversión inmediata en efectivo por cada peso de pasivos a corto plazo. </w:t>
      </w:r>
    </w:p>
    <w:p w14:paraId="54955F3B" w14:textId="77777777" w:rsidR="003F641A" w:rsidRPr="003F641A" w:rsidRDefault="003F641A" w:rsidP="003F641A">
      <w:pPr>
        <w:autoSpaceDE w:val="0"/>
        <w:autoSpaceDN w:val="0"/>
        <w:adjustRightInd w:val="0"/>
        <w:jc w:val="both"/>
        <w:outlineLvl w:val="0"/>
        <w:rPr>
          <w:rFonts w:eastAsia="Calibri" w:cs="Times New Roman"/>
        </w:rPr>
      </w:pPr>
    </w:p>
    <w:p w14:paraId="01733AA5" w14:textId="77777777" w:rsidR="003F641A" w:rsidRPr="003F641A" w:rsidRDefault="003F641A" w:rsidP="003F641A">
      <w:pPr>
        <w:autoSpaceDE w:val="0"/>
        <w:autoSpaceDN w:val="0"/>
        <w:adjustRightInd w:val="0"/>
        <w:jc w:val="both"/>
        <w:outlineLvl w:val="0"/>
        <w:rPr>
          <w:rFonts w:eastAsia="Calibri" w:cs="Times New Roman"/>
        </w:rPr>
      </w:pPr>
      <w:r w:rsidRPr="003F641A">
        <w:rPr>
          <w:rFonts w:eastAsia="Calibri" w:cs="Times New Roman"/>
        </w:rPr>
        <w:t xml:space="preserve">La posición financiera que guardan las </w:t>
      </w:r>
      <w:r w:rsidRPr="003F641A">
        <w:rPr>
          <w:rFonts w:eastAsia="Calibri" w:cs="Times New Roman"/>
          <w:bCs/>
        </w:rPr>
        <w:t>Entidades Paraestatales y Fideicomisos No Empresariales y No Financieros</w:t>
      </w:r>
      <w:r w:rsidRPr="003F641A">
        <w:rPr>
          <w:rFonts w:eastAsia="Calibri" w:cs="Times New Roman"/>
        </w:rPr>
        <w:t xml:space="preserve"> muestra los ingresos y egresos al 31 de diciembre del ejercicio 2023, toda vez que los saldos de los pasivos se han mantenido en niveles saludables y en equilibrio de la recaudación de ingresos.</w:t>
      </w:r>
    </w:p>
    <w:p w14:paraId="3C9D881C" w14:textId="77777777" w:rsidR="003F641A" w:rsidRPr="003F641A" w:rsidRDefault="003F641A" w:rsidP="003F641A">
      <w:pPr>
        <w:autoSpaceDE w:val="0"/>
        <w:autoSpaceDN w:val="0"/>
        <w:adjustRightInd w:val="0"/>
        <w:jc w:val="both"/>
        <w:outlineLvl w:val="0"/>
        <w:rPr>
          <w:rFonts w:eastAsia="Calibri" w:cs="Times New Roman"/>
        </w:rPr>
      </w:pPr>
    </w:p>
    <w:p w14:paraId="027B6E8C" w14:textId="77777777" w:rsidR="003F641A" w:rsidRPr="003F641A" w:rsidRDefault="003F641A" w:rsidP="003F641A">
      <w:pPr>
        <w:autoSpaceDE w:val="0"/>
        <w:autoSpaceDN w:val="0"/>
        <w:adjustRightInd w:val="0"/>
        <w:jc w:val="both"/>
        <w:outlineLvl w:val="0"/>
        <w:rPr>
          <w:rFonts w:eastAsia="Calibri" w:cs="Times New Roman"/>
        </w:rPr>
      </w:pPr>
      <w:r w:rsidRPr="003F641A">
        <w:rPr>
          <w:rFonts w:eastAsia="Calibri" w:cs="Times New Roman"/>
        </w:rPr>
        <w:t>En conclusión, las obligaciones que se tienen a corto plazo, son cubiertas en su totalidad de los activos.</w:t>
      </w:r>
    </w:p>
    <w:p w14:paraId="544C9DAA" w14:textId="77777777" w:rsidR="003F641A" w:rsidRPr="003F641A" w:rsidRDefault="003F641A" w:rsidP="003F641A">
      <w:pPr>
        <w:jc w:val="both"/>
        <w:rPr>
          <w:rFonts w:eastAsia="Calibri" w:cs="Times New Roman"/>
        </w:rPr>
      </w:pPr>
      <w:r w:rsidRPr="003F641A">
        <w:rPr>
          <w:rFonts w:eastAsia="Calibri" w:cs="Times New Roman"/>
        </w:rPr>
        <w:br w:type="page"/>
      </w:r>
    </w:p>
    <w:p w14:paraId="1A49746E" w14:textId="77777777" w:rsidR="003F641A" w:rsidRPr="003F641A" w:rsidRDefault="003F641A" w:rsidP="003F641A">
      <w:pPr>
        <w:keepNext/>
        <w:keepLines/>
        <w:jc w:val="both"/>
        <w:outlineLvl w:val="0"/>
        <w:rPr>
          <w:rFonts w:cs="Times New Roman"/>
          <w:b/>
          <w:iCs w:val="0"/>
          <w:color w:val="9E213D"/>
          <w:sz w:val="28"/>
          <w:szCs w:val="32"/>
        </w:rPr>
      </w:pPr>
      <w:bookmarkStart w:id="6" w:name="_Hlk125467787"/>
      <w:r w:rsidRPr="003F641A">
        <w:rPr>
          <w:rFonts w:cs="Times New Roman"/>
          <w:b/>
          <w:iCs w:val="0"/>
          <w:color w:val="9E213D"/>
          <w:sz w:val="28"/>
          <w:szCs w:val="32"/>
        </w:rPr>
        <w:lastRenderedPageBreak/>
        <w:t>Reporte analítico del activo no circulante</w:t>
      </w:r>
    </w:p>
    <w:p w14:paraId="0F045922" w14:textId="77777777" w:rsidR="003F641A" w:rsidRPr="003F641A" w:rsidRDefault="003F641A" w:rsidP="003F641A">
      <w:pPr>
        <w:widowControl w:val="0"/>
        <w:jc w:val="both"/>
      </w:pPr>
    </w:p>
    <w:bookmarkEnd w:id="6"/>
    <w:p w14:paraId="34DC3788" w14:textId="77777777" w:rsidR="003F641A" w:rsidRPr="003F641A" w:rsidRDefault="003F641A" w:rsidP="003F641A">
      <w:pPr>
        <w:widowControl w:val="0"/>
        <w:jc w:val="both"/>
        <w:rPr>
          <w:rFonts w:eastAsia="Calibri" w:cs="Times New Roman"/>
        </w:rPr>
      </w:pPr>
      <w:r w:rsidRPr="003F641A">
        <w:rPr>
          <w:rFonts w:eastAsia="Calibri" w:cs="Times New Roman"/>
        </w:rPr>
        <w:t>A continuación, se presentan los saldos por tipo de activo no circulante registrado en los estados financieros consolidados al periodo que se informa. Este reporte muestra el total de las adquisiciones que cada uno de los entes públicos integran su patrimonio.</w:t>
      </w:r>
    </w:p>
    <w:p w14:paraId="7F4B2F80" w14:textId="77777777" w:rsidR="003F641A" w:rsidRPr="003F641A" w:rsidRDefault="003F641A" w:rsidP="003F641A">
      <w:pPr>
        <w:widowControl w:val="0"/>
        <w:jc w:val="both"/>
        <w:rPr>
          <w:rFonts w:eastAsia="Calibri" w:cs="Times New Roman"/>
        </w:rPr>
      </w:pPr>
    </w:p>
    <w:p w14:paraId="026A2C34" w14:textId="77777777" w:rsidR="003F641A" w:rsidRPr="003F641A" w:rsidRDefault="003F641A" w:rsidP="003F641A">
      <w:pPr>
        <w:widowControl w:val="0"/>
        <w:jc w:val="center"/>
        <w:rPr>
          <w:rFonts w:eastAsia="Calibri" w:cs="Times New Roman"/>
        </w:rPr>
      </w:pPr>
      <w:r w:rsidRPr="003F641A">
        <w:rPr>
          <w:rFonts w:ascii="Calibri" w:eastAsia="Calibri" w:hAnsi="Calibri" w:cs="Times New Roman"/>
          <w:iCs w:val="0"/>
          <w:noProof/>
          <w:sz w:val="22"/>
          <w:szCs w:val="22"/>
          <w:lang w:val="es-MX" w:eastAsia="es-MX"/>
        </w:rPr>
        <w:drawing>
          <wp:inline distT="0" distB="0" distL="0" distR="0" wp14:anchorId="033E167B" wp14:editId="7FF11D15">
            <wp:extent cx="6331585" cy="1832744"/>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1832744"/>
                    </a:xfrm>
                    <a:prstGeom prst="rect">
                      <a:avLst/>
                    </a:prstGeom>
                    <a:noFill/>
                    <a:ln>
                      <a:noFill/>
                    </a:ln>
                  </pic:spPr>
                </pic:pic>
              </a:graphicData>
            </a:graphic>
          </wp:inline>
        </w:drawing>
      </w:r>
    </w:p>
    <w:p w14:paraId="3E2E6D2E" w14:textId="77777777" w:rsidR="003F641A" w:rsidRPr="003F641A" w:rsidRDefault="003F641A" w:rsidP="003F641A">
      <w:pPr>
        <w:widowControl w:val="0"/>
        <w:jc w:val="center"/>
      </w:pPr>
    </w:p>
    <w:p w14:paraId="161F5096" w14:textId="77777777" w:rsidR="003F641A" w:rsidRPr="003F641A" w:rsidRDefault="003F641A" w:rsidP="003F641A">
      <w:pPr>
        <w:widowControl w:val="0"/>
        <w:jc w:val="center"/>
      </w:pPr>
    </w:p>
    <w:p w14:paraId="4A6350ED" w14:textId="77777777" w:rsidR="003F641A" w:rsidRPr="003F641A" w:rsidRDefault="003F641A" w:rsidP="003F641A">
      <w:pPr>
        <w:widowControl w:val="0"/>
        <w:jc w:val="center"/>
      </w:pPr>
    </w:p>
    <w:p w14:paraId="5F24640B" w14:textId="77777777" w:rsidR="003F641A" w:rsidRPr="003F641A" w:rsidRDefault="003F641A" w:rsidP="003F641A">
      <w:pPr>
        <w:widowControl w:val="0"/>
        <w:jc w:val="center"/>
        <w:rPr>
          <w:rFonts w:eastAsia="Calibri" w:cs="Times New Roman"/>
        </w:rPr>
      </w:pPr>
      <w:r w:rsidRPr="003F641A">
        <w:rPr>
          <w:rFonts w:ascii="Calibri" w:eastAsia="Calibri" w:hAnsi="Calibri" w:cs="Times New Roman"/>
          <w:iCs w:val="0"/>
          <w:noProof/>
          <w:sz w:val="22"/>
          <w:szCs w:val="22"/>
          <w:lang w:val="es-MX" w:eastAsia="en-US"/>
        </w:rPr>
        <w:drawing>
          <wp:inline distT="0" distB="0" distL="0" distR="0" wp14:anchorId="5FF5BBDF" wp14:editId="7135338C">
            <wp:extent cx="6331585" cy="325637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3256370"/>
                    </a:xfrm>
                    <a:prstGeom prst="rect">
                      <a:avLst/>
                    </a:prstGeom>
                    <a:noFill/>
                    <a:ln>
                      <a:noFill/>
                    </a:ln>
                  </pic:spPr>
                </pic:pic>
              </a:graphicData>
            </a:graphic>
          </wp:inline>
        </w:drawing>
      </w:r>
    </w:p>
    <w:p w14:paraId="121EF2EF" w14:textId="77777777" w:rsidR="003F641A" w:rsidRPr="003F641A" w:rsidRDefault="003F641A" w:rsidP="003F641A">
      <w:pPr>
        <w:jc w:val="center"/>
        <w:rPr>
          <w:rFonts w:eastAsia="Calibri" w:cs="Times New Roman"/>
          <w:noProof/>
          <w:lang w:eastAsia="es-MX"/>
        </w:rPr>
      </w:pPr>
    </w:p>
    <w:p w14:paraId="485A74BE" w14:textId="77777777" w:rsidR="003F641A" w:rsidRPr="003F641A" w:rsidRDefault="003F641A" w:rsidP="003F641A">
      <w:pPr>
        <w:jc w:val="center"/>
        <w:rPr>
          <w:rFonts w:eastAsia="Calibri" w:cs="Times New Roman"/>
          <w:noProof/>
          <w:lang w:eastAsia="es-MX"/>
        </w:rPr>
      </w:pPr>
    </w:p>
    <w:p w14:paraId="513D8686" w14:textId="77777777" w:rsidR="003F641A" w:rsidRPr="003F641A" w:rsidRDefault="003F641A" w:rsidP="003F641A">
      <w:pPr>
        <w:jc w:val="center"/>
        <w:rPr>
          <w:rFonts w:eastAsia="Calibri" w:cs="Times New Roman"/>
          <w:noProof/>
          <w:lang w:eastAsia="es-MX"/>
        </w:rPr>
      </w:pPr>
    </w:p>
    <w:p w14:paraId="405E92EE" w14:textId="77777777" w:rsidR="003F641A" w:rsidRPr="003F641A" w:rsidRDefault="003F641A" w:rsidP="003F641A">
      <w:pPr>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lastRenderedPageBreak/>
        <w:drawing>
          <wp:inline distT="0" distB="0" distL="0" distR="0" wp14:anchorId="21078463" wp14:editId="386E8DA0">
            <wp:extent cx="6331585" cy="4510684"/>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4510684"/>
                    </a:xfrm>
                    <a:prstGeom prst="rect">
                      <a:avLst/>
                    </a:prstGeom>
                    <a:noFill/>
                    <a:ln>
                      <a:noFill/>
                    </a:ln>
                  </pic:spPr>
                </pic:pic>
              </a:graphicData>
            </a:graphic>
          </wp:inline>
        </w:drawing>
      </w:r>
    </w:p>
    <w:p w14:paraId="07377C8C" w14:textId="77777777" w:rsidR="003F641A" w:rsidRPr="003F641A" w:rsidRDefault="003F641A" w:rsidP="003F641A">
      <w:pPr>
        <w:jc w:val="both"/>
        <w:rPr>
          <w:rFonts w:eastAsia="Calibri" w:cs="Times New Roman"/>
          <w:noProof/>
          <w:lang w:eastAsia="es-MX"/>
        </w:rPr>
      </w:pPr>
    </w:p>
    <w:p w14:paraId="76B1B04B" w14:textId="5124E9A4" w:rsidR="003F641A" w:rsidRDefault="003F641A" w:rsidP="003F641A">
      <w:pPr>
        <w:jc w:val="both"/>
        <w:rPr>
          <w:rFonts w:eastAsia="Calibri" w:cs="Times New Roman"/>
          <w:noProof/>
          <w:lang w:eastAsia="es-MX"/>
        </w:rPr>
      </w:pPr>
    </w:p>
    <w:p w14:paraId="102411BF" w14:textId="77777777" w:rsidR="003F641A" w:rsidRPr="003F641A" w:rsidRDefault="003F641A" w:rsidP="003F641A">
      <w:pPr>
        <w:jc w:val="both"/>
        <w:rPr>
          <w:rFonts w:eastAsia="Calibri" w:cs="Times New Roman"/>
          <w:noProof/>
          <w:lang w:eastAsia="es-MX"/>
        </w:rPr>
      </w:pPr>
    </w:p>
    <w:p w14:paraId="19C5183F" w14:textId="77777777" w:rsidR="003F641A" w:rsidRPr="003F641A" w:rsidRDefault="003F641A" w:rsidP="003F641A">
      <w:pPr>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drawing>
          <wp:inline distT="0" distB="0" distL="0" distR="0" wp14:anchorId="043C0DCB" wp14:editId="0EE9CFFC">
            <wp:extent cx="6331585" cy="3618844"/>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3618844"/>
                    </a:xfrm>
                    <a:prstGeom prst="rect">
                      <a:avLst/>
                    </a:prstGeom>
                    <a:noFill/>
                    <a:ln>
                      <a:noFill/>
                    </a:ln>
                  </pic:spPr>
                </pic:pic>
              </a:graphicData>
            </a:graphic>
          </wp:inline>
        </w:drawing>
      </w:r>
    </w:p>
    <w:p w14:paraId="16F54D77" w14:textId="77777777" w:rsidR="003F641A" w:rsidRPr="003F641A" w:rsidRDefault="003F641A" w:rsidP="003F641A">
      <w:pPr>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lastRenderedPageBreak/>
        <w:drawing>
          <wp:inline distT="0" distB="0" distL="0" distR="0" wp14:anchorId="3ADCA29B" wp14:editId="3D56E6A8">
            <wp:extent cx="6331585" cy="3975331"/>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3975331"/>
                    </a:xfrm>
                    <a:prstGeom prst="rect">
                      <a:avLst/>
                    </a:prstGeom>
                    <a:noFill/>
                    <a:ln>
                      <a:noFill/>
                    </a:ln>
                  </pic:spPr>
                </pic:pic>
              </a:graphicData>
            </a:graphic>
          </wp:inline>
        </w:drawing>
      </w:r>
    </w:p>
    <w:p w14:paraId="5BA99928" w14:textId="77777777" w:rsidR="003F641A" w:rsidRPr="003F641A" w:rsidRDefault="003F641A" w:rsidP="003F641A">
      <w:pPr>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lastRenderedPageBreak/>
        <w:drawing>
          <wp:inline distT="0" distB="0" distL="0" distR="0" wp14:anchorId="49DB8669" wp14:editId="05C039A6">
            <wp:extent cx="6331585" cy="5000850"/>
            <wp:effectExtent l="0" t="0" r="0"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5000850"/>
                    </a:xfrm>
                    <a:prstGeom prst="rect">
                      <a:avLst/>
                    </a:prstGeom>
                    <a:noFill/>
                    <a:ln>
                      <a:noFill/>
                    </a:ln>
                  </pic:spPr>
                </pic:pic>
              </a:graphicData>
            </a:graphic>
          </wp:inline>
        </w:drawing>
      </w:r>
    </w:p>
    <w:p w14:paraId="146585F3" w14:textId="77777777" w:rsidR="003F641A" w:rsidRPr="003F641A" w:rsidRDefault="003F641A" w:rsidP="003F641A">
      <w:pPr>
        <w:jc w:val="both"/>
        <w:rPr>
          <w:rFonts w:eastAsia="Calibri" w:cs="Times New Roman"/>
          <w:noProof/>
          <w:lang w:eastAsia="es-MX"/>
        </w:rPr>
      </w:pPr>
    </w:p>
    <w:p w14:paraId="15D07CC4" w14:textId="77777777" w:rsidR="003F641A" w:rsidRPr="003F641A" w:rsidRDefault="003F641A" w:rsidP="003F641A">
      <w:pPr>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lastRenderedPageBreak/>
        <w:drawing>
          <wp:inline distT="0" distB="0" distL="0" distR="0" wp14:anchorId="3A703E11" wp14:editId="7F09E4D1">
            <wp:extent cx="6331585" cy="555150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5551505"/>
                    </a:xfrm>
                    <a:prstGeom prst="rect">
                      <a:avLst/>
                    </a:prstGeom>
                    <a:noFill/>
                    <a:ln>
                      <a:noFill/>
                    </a:ln>
                  </pic:spPr>
                </pic:pic>
              </a:graphicData>
            </a:graphic>
          </wp:inline>
        </w:drawing>
      </w:r>
    </w:p>
    <w:p w14:paraId="7A4F3B99" w14:textId="77777777" w:rsidR="003F641A" w:rsidRPr="003F641A" w:rsidRDefault="003F641A" w:rsidP="003F641A">
      <w:pPr>
        <w:jc w:val="center"/>
        <w:rPr>
          <w:rFonts w:eastAsia="Calibri" w:cs="Times New Roman"/>
          <w:noProof/>
          <w:lang w:eastAsia="es-MX"/>
        </w:rPr>
      </w:pPr>
    </w:p>
    <w:p w14:paraId="4CAE58F6" w14:textId="77777777" w:rsidR="003F641A" w:rsidRPr="003F641A" w:rsidRDefault="003F641A" w:rsidP="003F641A">
      <w:pPr>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lastRenderedPageBreak/>
        <w:drawing>
          <wp:inline distT="0" distB="0" distL="0" distR="0" wp14:anchorId="399C338A" wp14:editId="38721AA9">
            <wp:extent cx="6331585" cy="6228699"/>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6228699"/>
                    </a:xfrm>
                    <a:prstGeom prst="rect">
                      <a:avLst/>
                    </a:prstGeom>
                    <a:noFill/>
                    <a:ln>
                      <a:noFill/>
                    </a:ln>
                  </pic:spPr>
                </pic:pic>
              </a:graphicData>
            </a:graphic>
          </wp:inline>
        </w:drawing>
      </w:r>
    </w:p>
    <w:p w14:paraId="5797C349" w14:textId="77777777" w:rsidR="003F641A" w:rsidRPr="003F641A" w:rsidRDefault="003F641A" w:rsidP="003F641A">
      <w:pPr>
        <w:jc w:val="both"/>
        <w:rPr>
          <w:rFonts w:eastAsia="Calibri" w:cs="Times New Roman"/>
          <w:noProof/>
          <w:lang w:eastAsia="es-MX"/>
        </w:rPr>
      </w:pPr>
    </w:p>
    <w:p w14:paraId="742BB343" w14:textId="77777777" w:rsidR="003F641A" w:rsidRPr="003F641A" w:rsidRDefault="003F641A" w:rsidP="003F641A">
      <w:pPr>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lastRenderedPageBreak/>
        <w:drawing>
          <wp:inline distT="0" distB="0" distL="0" distR="0" wp14:anchorId="0C75A3F5" wp14:editId="181FAA53">
            <wp:extent cx="6331585" cy="4745684"/>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4745684"/>
                    </a:xfrm>
                    <a:prstGeom prst="rect">
                      <a:avLst/>
                    </a:prstGeom>
                    <a:noFill/>
                    <a:ln>
                      <a:noFill/>
                    </a:ln>
                  </pic:spPr>
                </pic:pic>
              </a:graphicData>
            </a:graphic>
          </wp:inline>
        </w:drawing>
      </w:r>
    </w:p>
    <w:p w14:paraId="4B89192F" w14:textId="77777777" w:rsidR="003F641A" w:rsidRPr="003F641A" w:rsidRDefault="003F641A" w:rsidP="003F641A">
      <w:pPr>
        <w:jc w:val="center"/>
        <w:rPr>
          <w:rFonts w:eastAsia="Calibri" w:cs="Times New Roman"/>
          <w:noProof/>
          <w:lang w:eastAsia="es-MX"/>
        </w:rPr>
      </w:pPr>
    </w:p>
    <w:p w14:paraId="6598060D" w14:textId="77777777" w:rsidR="003F641A" w:rsidRPr="003F641A" w:rsidRDefault="003F641A" w:rsidP="003F641A">
      <w:pPr>
        <w:jc w:val="center"/>
        <w:rPr>
          <w:rFonts w:eastAsia="Calibri" w:cs="Times New Roman"/>
          <w:noProof/>
          <w:lang w:eastAsia="es-MX"/>
        </w:rPr>
      </w:pPr>
    </w:p>
    <w:p w14:paraId="142D02BB" w14:textId="77777777" w:rsidR="003F641A" w:rsidRPr="003F641A" w:rsidRDefault="003F641A" w:rsidP="003F641A">
      <w:pPr>
        <w:jc w:val="center"/>
        <w:rPr>
          <w:rFonts w:eastAsia="Calibri" w:cs="Times New Roman"/>
          <w:noProof/>
          <w:lang w:eastAsia="es-MX"/>
        </w:rPr>
      </w:pPr>
    </w:p>
    <w:p w14:paraId="1DCE89E4" w14:textId="77777777" w:rsidR="003F641A" w:rsidRPr="003F641A" w:rsidRDefault="003F641A" w:rsidP="003F641A">
      <w:pPr>
        <w:jc w:val="center"/>
        <w:rPr>
          <w:rFonts w:eastAsia="Calibri" w:cs="Times New Roman"/>
          <w:noProof/>
          <w:lang w:eastAsia="es-MX"/>
        </w:rPr>
      </w:pPr>
      <w:r w:rsidRPr="003F641A">
        <w:rPr>
          <w:rFonts w:ascii="Calibri" w:eastAsia="Calibri" w:hAnsi="Calibri" w:cs="Times New Roman"/>
          <w:iCs w:val="0"/>
          <w:noProof/>
          <w:sz w:val="22"/>
          <w:szCs w:val="22"/>
          <w:lang w:val="es-MX" w:eastAsia="es-MX"/>
        </w:rPr>
        <w:drawing>
          <wp:inline distT="0" distB="0" distL="0" distR="0" wp14:anchorId="11D5EE19" wp14:editId="571BF48C">
            <wp:extent cx="6331585" cy="2982029"/>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1585" cy="2982029"/>
                    </a:xfrm>
                    <a:prstGeom prst="rect">
                      <a:avLst/>
                    </a:prstGeom>
                    <a:noFill/>
                    <a:ln>
                      <a:noFill/>
                    </a:ln>
                  </pic:spPr>
                </pic:pic>
              </a:graphicData>
            </a:graphic>
          </wp:inline>
        </w:drawing>
      </w:r>
    </w:p>
    <w:p w14:paraId="175922B5" w14:textId="036DC269" w:rsidR="00C11374" w:rsidRPr="003F641A" w:rsidRDefault="00C11374" w:rsidP="003F641A">
      <w:pPr>
        <w:rPr>
          <w:rFonts w:eastAsia="Calibri"/>
        </w:rPr>
      </w:pPr>
    </w:p>
    <w:sectPr w:rsidR="00C11374" w:rsidRPr="003F641A" w:rsidSect="006E7DD1">
      <w:headerReference w:type="default" r:id="rId54"/>
      <w:footerReference w:type="even" r:id="rId55"/>
      <w:footerReference w:type="default" r:id="rId56"/>
      <w:headerReference w:type="first" r:id="rId57"/>
      <w:footerReference w:type="first" r:id="rId5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7877" w14:textId="77777777" w:rsidR="003F251B" w:rsidRDefault="003F251B">
      <w:r>
        <w:separator/>
      </w:r>
    </w:p>
  </w:endnote>
  <w:endnote w:type="continuationSeparator" w:id="0">
    <w:p w14:paraId="47893F86" w14:textId="77777777" w:rsidR="003F251B" w:rsidRDefault="003F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3777"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177613"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65E1" w14:textId="77777777" w:rsidR="004119E4" w:rsidRPr="003F641A"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3F641A">
      <w:rPr>
        <w:rFonts w:ascii="HelveticaNeueLT Std Lt" w:eastAsia="Kozuka Gothic Pro B" w:hAnsi="HelveticaNeueLT Std Lt"/>
        <w:color w:val="FFFFFF"/>
        <w:sz w:val="22"/>
        <w:szCs w:val="22"/>
        <w:lang w:val="es-MX"/>
      </w:rPr>
      <w:fldChar w:fldCharType="begin"/>
    </w:r>
    <w:r w:rsidRPr="003F641A">
      <w:rPr>
        <w:rFonts w:ascii="HelveticaNeueLT Std Lt" w:eastAsia="Kozuka Gothic Pro B" w:hAnsi="HelveticaNeueLT Std Lt"/>
        <w:color w:val="FFFFFF"/>
        <w:sz w:val="22"/>
        <w:szCs w:val="22"/>
        <w:lang w:val="es-MX"/>
      </w:rPr>
      <w:instrText xml:space="preserve">PAGE  </w:instrText>
    </w:r>
    <w:r w:rsidRPr="003F641A">
      <w:rPr>
        <w:rFonts w:ascii="HelveticaNeueLT Std Lt" w:eastAsia="Kozuka Gothic Pro B" w:hAnsi="HelveticaNeueLT Std Lt"/>
        <w:color w:val="FFFFFF"/>
        <w:sz w:val="22"/>
        <w:szCs w:val="22"/>
        <w:lang w:val="es-MX"/>
      </w:rPr>
      <w:fldChar w:fldCharType="separate"/>
    </w:r>
    <w:r w:rsidR="00165879" w:rsidRPr="003F641A">
      <w:rPr>
        <w:rFonts w:ascii="HelveticaNeueLT Std Lt" w:eastAsia="Kozuka Gothic Pro B" w:hAnsi="HelveticaNeueLT Std Lt"/>
        <w:noProof/>
        <w:color w:val="FFFFFF"/>
        <w:sz w:val="22"/>
        <w:szCs w:val="22"/>
        <w:lang w:val="es-MX"/>
      </w:rPr>
      <w:t>25</w:t>
    </w:r>
    <w:r w:rsidRPr="003F641A">
      <w:rPr>
        <w:rFonts w:ascii="HelveticaNeueLT Std Lt" w:eastAsia="Kozuka Gothic Pro B" w:hAnsi="HelveticaNeueLT Std Lt"/>
        <w:color w:val="FFFFFF"/>
        <w:sz w:val="22"/>
        <w:szCs w:val="22"/>
        <w:lang w:val="es-MX"/>
      </w:rPr>
      <w:fldChar w:fldCharType="end"/>
    </w:r>
  </w:p>
  <w:p w14:paraId="7EE84D8D"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20C4"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E4B26F9" wp14:editId="642305B5">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73F1C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2E9ED622" wp14:editId="1E89A6FA">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DBB217"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21D78962" wp14:editId="64BE2FCB">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8193983"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6F3C6B9D" wp14:editId="7BF96350">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309AB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963E8E1" wp14:editId="78E9BA1B">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885797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0E7E" w14:textId="77777777" w:rsidR="003F251B" w:rsidRDefault="003F251B">
      <w:r>
        <w:separator/>
      </w:r>
    </w:p>
  </w:footnote>
  <w:footnote w:type="continuationSeparator" w:id="0">
    <w:p w14:paraId="7AB31C35" w14:textId="77777777" w:rsidR="003F251B" w:rsidRDefault="003F2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43A5"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6FD26AA" wp14:editId="68C12CF2">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F591" w14:textId="77777777"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14:paraId="585884A8" w14:textId="0F7CCC42"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0882">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E7363F">
                            <w:rPr>
                              <w:rFonts w:ascii="HelveticaNeueLT Std Lt" w:eastAsia="Kozuka Gothic Pro B" w:hAnsi="HelveticaNeueLT Std Lt"/>
                              <w:lang w:val="es-MX"/>
                            </w:rPr>
                            <w:t>3</w:t>
                          </w:r>
                        </w:p>
                        <w:p w14:paraId="56E5F7B9"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D26AA"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14:paraId="148BF591" w14:textId="77777777"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14:paraId="585884A8" w14:textId="0F7CCC42"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0882">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AD6043">
                      <w:rPr>
                        <w:rFonts w:ascii="HelveticaNeueLT Std Lt" w:eastAsia="Kozuka Gothic Pro B" w:hAnsi="HelveticaNeueLT Std Lt"/>
                        <w:lang w:val="es-MX"/>
                      </w:rPr>
                      <w:t>2</w:t>
                    </w:r>
                    <w:r w:rsidR="00E7363F">
                      <w:rPr>
                        <w:rFonts w:ascii="HelveticaNeueLT Std Lt" w:eastAsia="Kozuka Gothic Pro B" w:hAnsi="HelveticaNeueLT Std Lt"/>
                        <w:lang w:val="es-MX"/>
                      </w:rPr>
                      <w:t>3</w:t>
                    </w:r>
                  </w:p>
                  <w:p w14:paraId="56E5F7B9"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5E638C6" wp14:editId="7C1CDD3E">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E15C398" w14:textId="77777777" w:rsidR="004119E4" w:rsidRDefault="004119E4" w:rsidP="00BF6032">
    <w:pPr>
      <w:pStyle w:val="Encabezado"/>
      <w:tabs>
        <w:tab w:val="left" w:pos="4860"/>
      </w:tabs>
      <w:ind w:right="846"/>
      <w:jc w:val="right"/>
      <w:rPr>
        <w:rFonts w:ascii="Romana BT" w:hAnsi="Romana BT"/>
        <w:b/>
        <w:sz w:val="16"/>
        <w:szCs w:val="16"/>
      </w:rPr>
    </w:pPr>
  </w:p>
  <w:p w14:paraId="13FD6FF8"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4047"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7A608124" wp14:editId="63473863">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6204"/>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5C06"/>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0D10"/>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879"/>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643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04C"/>
    <w:rsid w:val="0022433E"/>
    <w:rsid w:val="00227DF4"/>
    <w:rsid w:val="0023009B"/>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2D57"/>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251B"/>
    <w:rsid w:val="003F3237"/>
    <w:rsid w:val="003F3589"/>
    <w:rsid w:val="003F47D3"/>
    <w:rsid w:val="003F4CA9"/>
    <w:rsid w:val="003F51BC"/>
    <w:rsid w:val="003F59B9"/>
    <w:rsid w:val="003F59CE"/>
    <w:rsid w:val="003F641A"/>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6AA"/>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0882"/>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483A"/>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3933"/>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0533"/>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36C"/>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3831"/>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043"/>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374"/>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4A3"/>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63F"/>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30E"/>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A41"/>
    <w:rsid w:val="00FA0D0A"/>
    <w:rsid w:val="00FA1E47"/>
    <w:rsid w:val="00FA3999"/>
    <w:rsid w:val="00FA3A77"/>
    <w:rsid w:val="00FA4353"/>
    <w:rsid w:val="00FA4A0A"/>
    <w:rsid w:val="00FA4E82"/>
    <w:rsid w:val="00FA5375"/>
    <w:rsid w:val="00FA5414"/>
    <w:rsid w:val="00FA6000"/>
    <w:rsid w:val="00FA72A7"/>
    <w:rsid w:val="00FB3D58"/>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372E4917"/>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2.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2.xml.rels><?xml version="1.0" encoding="UTF-8" standalone="yes"?>
<Relationships xmlns="http://schemas.openxmlformats.org/package/2006/relationships"><Relationship Id="rId1" Type="http://schemas.openxmlformats.org/officeDocument/2006/relationships/image" Target="media/image48.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ACD52-5125-4A00-8BD8-A719CDC56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4937</Words>
  <Characters>27334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2020-11-25T15:52:00Z</cp:lastPrinted>
  <dcterms:created xsi:type="dcterms:W3CDTF">2024-04-09T20:31:00Z</dcterms:created>
  <dcterms:modified xsi:type="dcterms:W3CDTF">2024-04-09T20:31:00Z</dcterms:modified>
</cp:coreProperties>
</file>