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46194" w14:textId="77777777" w:rsidR="00570879" w:rsidRPr="00570879" w:rsidRDefault="00570879" w:rsidP="00570879">
      <w:pPr>
        <w:autoSpaceDE w:val="0"/>
        <w:autoSpaceDN w:val="0"/>
        <w:adjustRightInd w:val="0"/>
        <w:jc w:val="center"/>
        <w:rPr>
          <w:rFonts w:eastAsia="Calibri"/>
          <w:b/>
          <w:iCs w:val="0"/>
          <w:color w:val="9E213D"/>
          <w:sz w:val="28"/>
          <w:szCs w:val="28"/>
          <w:lang w:val="es-MX" w:eastAsia="en-US"/>
        </w:rPr>
      </w:pPr>
      <w:bookmarkStart w:id="0" w:name="_Hlk142918796"/>
      <w:r w:rsidRPr="00570879">
        <w:rPr>
          <w:rFonts w:eastAsia="Calibri"/>
          <w:b/>
          <w:iCs w:val="0"/>
          <w:color w:val="9E213D"/>
          <w:sz w:val="28"/>
          <w:szCs w:val="28"/>
          <w:lang w:val="es-MX" w:eastAsia="en-US"/>
        </w:rPr>
        <w:t>Notas a los estados financieros consolidados</w:t>
      </w:r>
    </w:p>
    <w:p w14:paraId="5850462D" w14:textId="77777777" w:rsidR="00570879" w:rsidRPr="00570879" w:rsidRDefault="00570879" w:rsidP="00570879">
      <w:pPr>
        <w:jc w:val="center"/>
        <w:rPr>
          <w:rFonts w:eastAsia="Calibri"/>
          <w:iCs w:val="0"/>
          <w:color w:val="9E213D"/>
          <w:sz w:val="24"/>
          <w:szCs w:val="24"/>
          <w:lang w:val="es-MX"/>
        </w:rPr>
      </w:pPr>
      <w:r w:rsidRPr="00570879">
        <w:rPr>
          <w:rFonts w:eastAsia="Calibri"/>
          <w:iCs w:val="0"/>
          <w:color w:val="9E213D"/>
          <w:sz w:val="24"/>
          <w:szCs w:val="24"/>
          <w:lang w:val="es-MX"/>
        </w:rPr>
        <w:t>DEL 1 DE ENERO AL 31 DE DICIEMBRE DE 2023</w:t>
      </w:r>
    </w:p>
    <w:p w14:paraId="1AA11D44" w14:textId="77777777" w:rsidR="00570879" w:rsidRPr="00570879" w:rsidRDefault="00570879" w:rsidP="00570879">
      <w:pPr>
        <w:jc w:val="center"/>
        <w:rPr>
          <w:rFonts w:eastAsia="Calibri"/>
          <w:iCs w:val="0"/>
          <w:color w:val="9E213D"/>
          <w:sz w:val="24"/>
          <w:szCs w:val="24"/>
          <w:lang w:val="es-MX"/>
        </w:rPr>
      </w:pPr>
      <w:r w:rsidRPr="00570879">
        <w:rPr>
          <w:rFonts w:eastAsia="Calibri"/>
          <w:iCs w:val="0"/>
          <w:color w:val="9E213D"/>
          <w:sz w:val="24"/>
          <w:szCs w:val="24"/>
          <w:lang w:val="es-MX"/>
        </w:rPr>
        <w:t>(Cifras en pesos)</w:t>
      </w:r>
    </w:p>
    <w:p w14:paraId="31EC8947" w14:textId="77777777" w:rsidR="00570879" w:rsidRPr="00570879" w:rsidRDefault="00570879" w:rsidP="00570879">
      <w:pPr>
        <w:jc w:val="both"/>
        <w:outlineLvl w:val="0"/>
        <w:rPr>
          <w:rFonts w:eastAsia="Calibri"/>
          <w:iCs w:val="0"/>
          <w:lang w:val="es-MX" w:eastAsia="en-US"/>
        </w:rPr>
      </w:pPr>
      <w:bookmarkStart w:id="1" w:name="_Hlk117854077"/>
    </w:p>
    <w:bookmarkEnd w:id="1"/>
    <w:p w14:paraId="5A5B3EE2" w14:textId="77777777" w:rsidR="00570879" w:rsidRPr="00570879" w:rsidRDefault="00570879" w:rsidP="00570879">
      <w:pPr>
        <w:jc w:val="both"/>
        <w:rPr>
          <w:rFonts w:eastAsia="Calibri" w:cs="Times New Roman"/>
          <w:b/>
          <w:bCs/>
          <w:iCs w:val="0"/>
          <w:szCs w:val="22"/>
          <w:lang w:val="es-MX" w:eastAsia="en-US"/>
        </w:rPr>
      </w:pPr>
      <w:r w:rsidRPr="00570879">
        <w:rPr>
          <w:rFonts w:eastAsia="Calibri" w:cs="Times New Roman"/>
          <w:b/>
          <w:bCs/>
          <w:iCs w:val="0"/>
          <w:sz w:val="24"/>
          <w:szCs w:val="22"/>
          <w:lang w:val="es-MX" w:eastAsia="en-US"/>
        </w:rPr>
        <w:t>Introducción</w:t>
      </w:r>
      <w:r w:rsidRPr="00570879">
        <w:rPr>
          <w:rFonts w:eastAsia="Calibri" w:cs="Times New Roman"/>
          <w:b/>
          <w:bCs/>
          <w:iCs w:val="0"/>
          <w:szCs w:val="22"/>
          <w:lang w:val="es-MX" w:eastAsia="en-US"/>
        </w:rPr>
        <w:t xml:space="preserve">  </w:t>
      </w:r>
    </w:p>
    <w:p w14:paraId="798858FD" w14:textId="77777777" w:rsidR="00570879" w:rsidRPr="00570879" w:rsidRDefault="00570879" w:rsidP="00570879">
      <w:pPr>
        <w:jc w:val="both"/>
        <w:rPr>
          <w:rFonts w:eastAsia="Calibri" w:cs="Times New Roman"/>
          <w:bCs/>
          <w:iCs w:val="0"/>
          <w:szCs w:val="22"/>
          <w:lang w:val="es-MX" w:eastAsia="en-US"/>
        </w:rPr>
      </w:pPr>
    </w:p>
    <w:p w14:paraId="7ECAC988" w14:textId="77777777" w:rsidR="00570879" w:rsidRPr="00570879" w:rsidRDefault="00570879" w:rsidP="00570879">
      <w:pPr>
        <w:jc w:val="both"/>
        <w:rPr>
          <w:rFonts w:eastAsia="Calibri" w:cs="Times New Roman"/>
          <w:bCs/>
          <w:iCs w:val="0"/>
          <w:szCs w:val="22"/>
          <w:lang w:val="es-MX" w:eastAsia="en-US"/>
        </w:rPr>
      </w:pPr>
      <w:r w:rsidRPr="00570879">
        <w:rPr>
          <w:rFonts w:eastAsia="Calibri" w:cs="Times New Roman"/>
          <w:bCs/>
          <w:iCs w:val="0"/>
          <w:szCs w:val="22"/>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Empresariales No Financieras con Participación Estatal Mayoritaria, correspondiente al 31 de diciembre de 2023, con los siguientes apartados:</w:t>
      </w:r>
    </w:p>
    <w:p w14:paraId="44A26EB3" w14:textId="77777777" w:rsidR="00570879" w:rsidRPr="00570879" w:rsidRDefault="00570879" w:rsidP="00570879">
      <w:pPr>
        <w:jc w:val="both"/>
        <w:rPr>
          <w:rFonts w:eastAsia="Calibri" w:cs="Times New Roman"/>
          <w:bCs/>
          <w:iCs w:val="0"/>
          <w:szCs w:val="22"/>
          <w:lang w:val="es-MX" w:eastAsia="en-US"/>
        </w:rPr>
      </w:pPr>
    </w:p>
    <w:p w14:paraId="267DB274" w14:textId="77777777" w:rsidR="00570879" w:rsidRPr="00570879" w:rsidRDefault="00570879" w:rsidP="00570879">
      <w:pPr>
        <w:numPr>
          <w:ilvl w:val="0"/>
          <w:numId w:val="8"/>
        </w:numPr>
        <w:spacing w:after="120"/>
        <w:ind w:left="357" w:hanging="357"/>
        <w:jc w:val="both"/>
        <w:rPr>
          <w:bCs/>
          <w:iCs w:val="0"/>
          <w:caps/>
          <w:lang w:val="es-MX" w:eastAsia="es-MX"/>
        </w:rPr>
      </w:pPr>
      <w:r w:rsidRPr="00570879">
        <w:rPr>
          <w:bCs/>
          <w:iCs w:val="0"/>
          <w:lang w:val="es-MX" w:eastAsia="es-MX"/>
        </w:rPr>
        <w:t>Notas de gestión administrativa</w:t>
      </w:r>
    </w:p>
    <w:p w14:paraId="3F33D56C" w14:textId="77777777" w:rsidR="00570879" w:rsidRPr="00570879" w:rsidRDefault="00570879" w:rsidP="00570879">
      <w:pPr>
        <w:numPr>
          <w:ilvl w:val="0"/>
          <w:numId w:val="8"/>
        </w:numPr>
        <w:spacing w:after="120"/>
        <w:ind w:left="357" w:hanging="357"/>
        <w:jc w:val="both"/>
        <w:rPr>
          <w:bCs/>
          <w:iCs w:val="0"/>
          <w:caps/>
          <w:lang w:val="es-MX" w:eastAsia="es-MX"/>
        </w:rPr>
      </w:pPr>
      <w:r w:rsidRPr="00570879">
        <w:rPr>
          <w:bCs/>
          <w:iCs w:val="0"/>
          <w:lang w:val="es-MX" w:eastAsia="es-MX"/>
        </w:rPr>
        <w:t xml:space="preserve">Notas de desglose, y </w:t>
      </w:r>
    </w:p>
    <w:p w14:paraId="428F5C70" w14:textId="77777777" w:rsidR="00570879" w:rsidRPr="00570879" w:rsidRDefault="00570879" w:rsidP="00570879">
      <w:pPr>
        <w:numPr>
          <w:ilvl w:val="0"/>
          <w:numId w:val="8"/>
        </w:numPr>
        <w:spacing w:after="120"/>
        <w:ind w:left="357" w:hanging="357"/>
        <w:jc w:val="both"/>
        <w:rPr>
          <w:bCs/>
          <w:iCs w:val="0"/>
          <w:caps/>
          <w:lang w:val="es-MX" w:eastAsia="es-MX"/>
        </w:rPr>
      </w:pPr>
      <w:r w:rsidRPr="00570879">
        <w:rPr>
          <w:bCs/>
          <w:iCs w:val="0"/>
          <w:lang w:val="es-MX" w:eastAsia="es-MX"/>
        </w:rPr>
        <w:t>Notas de memoria (cuentas de orden)</w:t>
      </w:r>
    </w:p>
    <w:p w14:paraId="10DA041D" w14:textId="77777777" w:rsidR="00570879" w:rsidRPr="00570879" w:rsidRDefault="00570879" w:rsidP="00570879">
      <w:pPr>
        <w:jc w:val="both"/>
        <w:rPr>
          <w:rFonts w:eastAsia="Calibri" w:cs="Times New Roman"/>
          <w:bCs/>
          <w:iCs w:val="0"/>
          <w:caps/>
          <w:szCs w:val="22"/>
          <w:lang w:val="es-MX" w:eastAsia="en-US"/>
        </w:rPr>
      </w:pPr>
    </w:p>
    <w:p w14:paraId="16DC94B2" w14:textId="77777777" w:rsidR="00570879" w:rsidRPr="00570879" w:rsidRDefault="00570879" w:rsidP="00570879">
      <w:pPr>
        <w:jc w:val="both"/>
        <w:rPr>
          <w:rFonts w:eastAsia="Calibri" w:cs="Times New Roman"/>
          <w:b/>
          <w:bCs/>
          <w:iCs w:val="0"/>
          <w:caps/>
          <w:szCs w:val="22"/>
          <w:lang w:val="es-MX" w:eastAsia="en-US"/>
        </w:rPr>
      </w:pPr>
      <w:r w:rsidRPr="00570879">
        <w:rPr>
          <w:rFonts w:eastAsia="Calibri" w:cs="Times New Roman"/>
          <w:bCs/>
          <w:iCs w:val="0"/>
          <w:szCs w:val="22"/>
          <w:lang w:val="es-MX" w:eastAsia="en-US"/>
        </w:rPr>
        <w:t>Las cifras mostradas al 31 de diciembre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27412112" w14:textId="77777777" w:rsidR="00570879" w:rsidRPr="00570879" w:rsidRDefault="00570879" w:rsidP="00570879">
      <w:pPr>
        <w:jc w:val="both"/>
        <w:rPr>
          <w:rFonts w:eastAsia="Calibri" w:cs="Times New Roman"/>
          <w:b/>
          <w:bCs/>
          <w:iCs w:val="0"/>
          <w:caps/>
          <w:szCs w:val="22"/>
          <w:lang w:val="es-MX" w:eastAsia="en-US"/>
        </w:rPr>
      </w:pPr>
    </w:p>
    <w:p w14:paraId="089E700E" w14:textId="77777777" w:rsidR="00570879" w:rsidRPr="00570879" w:rsidRDefault="00570879" w:rsidP="00570879">
      <w:pPr>
        <w:jc w:val="both"/>
        <w:rPr>
          <w:rFonts w:eastAsia="Calibri" w:cs="Times New Roman"/>
          <w:b/>
          <w:bCs/>
          <w:iCs w:val="0"/>
          <w:caps/>
          <w:szCs w:val="22"/>
          <w:lang w:val="es-MX" w:eastAsia="en-US"/>
        </w:rPr>
      </w:pPr>
    </w:p>
    <w:p w14:paraId="413D8B9F" w14:textId="77777777" w:rsidR="00570879" w:rsidRPr="00570879" w:rsidRDefault="00570879" w:rsidP="00570879">
      <w:pPr>
        <w:jc w:val="both"/>
        <w:rPr>
          <w:rFonts w:eastAsia="Calibri" w:cs="Times New Roman"/>
          <w:b/>
          <w:bCs/>
          <w:iCs w:val="0"/>
          <w:sz w:val="24"/>
          <w:szCs w:val="22"/>
          <w:lang w:val="es-MX" w:eastAsia="en-US"/>
        </w:rPr>
      </w:pPr>
      <w:r w:rsidRPr="00570879">
        <w:rPr>
          <w:rFonts w:eastAsia="Calibri" w:cs="Times New Roman"/>
          <w:b/>
          <w:bCs/>
          <w:iCs w:val="0"/>
          <w:sz w:val="24"/>
          <w:szCs w:val="22"/>
          <w:lang w:val="es-MX" w:eastAsia="en-US"/>
        </w:rPr>
        <w:t>Notas de gestión administrativa</w:t>
      </w:r>
    </w:p>
    <w:p w14:paraId="712237FD" w14:textId="77777777" w:rsidR="00570879" w:rsidRPr="00570879" w:rsidRDefault="00570879" w:rsidP="00570879">
      <w:pPr>
        <w:numPr>
          <w:ilvl w:val="1"/>
          <w:numId w:val="0"/>
        </w:numPr>
        <w:jc w:val="both"/>
        <w:rPr>
          <w:rFonts w:cs="Times New Roman"/>
          <w:b/>
          <w:iCs w:val="0"/>
          <w:color w:val="B09A5B"/>
          <w:szCs w:val="22"/>
          <w:lang w:val="es-MX" w:eastAsia="en-US"/>
        </w:rPr>
      </w:pPr>
    </w:p>
    <w:p w14:paraId="48CACDF6"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r w:rsidRPr="00570879">
        <w:rPr>
          <w:rFonts w:eastAsia="Calibri" w:cs="Times New Roman"/>
          <w:iCs w:val="0"/>
          <w:szCs w:val="22"/>
          <w:lang w:val="es-MX" w:eastAsia="en-US"/>
        </w:rPr>
        <w:t>Las notas de gestión administrativa de las Entidades de las Entidades Paraestatales Empresariales No Financieras con Participación Estatal Mayoritaria, son producto de las notas de cada entidad que lo conforman, mismas que pueden ser consultadas en cada ente público.</w:t>
      </w:r>
    </w:p>
    <w:p w14:paraId="274C2352"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p>
    <w:p w14:paraId="2EF3C92C" w14:textId="77777777" w:rsidR="00570879" w:rsidRPr="00570879" w:rsidRDefault="00570879" w:rsidP="00570879">
      <w:pPr>
        <w:numPr>
          <w:ilvl w:val="1"/>
          <w:numId w:val="0"/>
        </w:numPr>
        <w:jc w:val="both"/>
        <w:rPr>
          <w:rFonts w:cs="Times New Roman"/>
          <w:b/>
          <w:iCs w:val="0"/>
          <w:color w:val="B09A5B"/>
          <w:szCs w:val="22"/>
          <w:lang w:val="es-MX" w:eastAsia="en-US"/>
        </w:rPr>
      </w:pPr>
    </w:p>
    <w:p w14:paraId="5979624B" w14:textId="77777777" w:rsidR="00570879" w:rsidRPr="00570879" w:rsidRDefault="00570879" w:rsidP="00570879">
      <w:pPr>
        <w:jc w:val="both"/>
        <w:rPr>
          <w:rFonts w:eastAsia="Calibri" w:cs="Times New Roman"/>
          <w:b/>
          <w:bCs/>
          <w:iCs w:val="0"/>
          <w:sz w:val="24"/>
          <w:szCs w:val="22"/>
          <w:lang w:val="es-MX" w:eastAsia="en-US"/>
        </w:rPr>
      </w:pPr>
      <w:bookmarkStart w:id="2" w:name="_Hlk125467046"/>
      <w:r w:rsidRPr="00570879">
        <w:rPr>
          <w:rFonts w:eastAsia="Calibri" w:cs="Times New Roman"/>
          <w:b/>
          <w:bCs/>
          <w:iCs w:val="0"/>
          <w:sz w:val="24"/>
          <w:szCs w:val="22"/>
          <w:lang w:val="es-MX" w:eastAsia="en-US"/>
        </w:rPr>
        <w:t>Notas de desglose</w:t>
      </w:r>
    </w:p>
    <w:p w14:paraId="20BCB1C3" w14:textId="77777777" w:rsidR="00570879" w:rsidRPr="00570879" w:rsidRDefault="00570879" w:rsidP="00570879">
      <w:pPr>
        <w:outlineLvl w:val="0"/>
        <w:rPr>
          <w:rFonts w:eastAsia="Calibri"/>
          <w:b/>
          <w:bCs/>
          <w:iCs w:val="0"/>
          <w:szCs w:val="22"/>
          <w:lang w:val="es-MX" w:eastAsia="en-US"/>
        </w:rPr>
      </w:pPr>
    </w:p>
    <w:p w14:paraId="01FC4981" w14:textId="77777777" w:rsidR="00570879" w:rsidRPr="00570879" w:rsidRDefault="00570879" w:rsidP="00570879">
      <w:pPr>
        <w:jc w:val="both"/>
        <w:rPr>
          <w:rFonts w:eastAsia="Calibri"/>
          <w:b/>
          <w:bCs/>
          <w:iCs w:val="0"/>
          <w:caps/>
        </w:rPr>
      </w:pPr>
      <w:r w:rsidRPr="00570879">
        <w:rPr>
          <w:rFonts w:eastAsia="Calibri"/>
          <w:b/>
          <w:bCs/>
          <w:iCs w:val="0"/>
        </w:rPr>
        <w:t>Notas al estado de actividades</w:t>
      </w:r>
    </w:p>
    <w:p w14:paraId="469C8E2A" w14:textId="77777777" w:rsidR="00570879" w:rsidRPr="00570879" w:rsidRDefault="00570879" w:rsidP="00570879">
      <w:pPr>
        <w:jc w:val="both"/>
        <w:outlineLvl w:val="0"/>
        <w:rPr>
          <w:rFonts w:eastAsia="Calibri" w:cs="Times New Roman"/>
          <w:iCs w:val="0"/>
          <w:szCs w:val="22"/>
          <w:lang w:val="es-MX" w:eastAsia="en-US"/>
        </w:rPr>
      </w:pPr>
    </w:p>
    <w:p w14:paraId="7F06B2DB"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 xml:space="preserve">El resultado negativo obtenido del 1 de enero al 31 de diciembre de 2023, que asciende a 190.1 millones de pesos y se obtiene de restar a los ingresos percibidos de las Entidades Paraestatales Empresariales No Financieras con Participación Estatal Mayoritaria, contra los gastos y otras pérdidas sin considerar los recursos destinados en la adquisición de bienes muebles e inmuebles consideradas como inversión, así como, recursos comprometidos de gasto de inversión para la continuidad de obras en proceso. </w:t>
      </w:r>
    </w:p>
    <w:p w14:paraId="3F0864FC"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4016E0E7" w14:textId="77777777" w:rsidR="00570879" w:rsidRPr="00570879" w:rsidRDefault="00570879" w:rsidP="00570879">
      <w:pPr>
        <w:jc w:val="both"/>
        <w:rPr>
          <w:rFonts w:eastAsia="Calibri"/>
          <w:b/>
          <w:bCs/>
          <w:iCs w:val="0"/>
        </w:rPr>
      </w:pPr>
      <w:r w:rsidRPr="00570879">
        <w:rPr>
          <w:rFonts w:eastAsia="Calibri"/>
          <w:b/>
          <w:bCs/>
          <w:iCs w:val="0"/>
        </w:rPr>
        <w:t>Ingresos y otros beneficios</w:t>
      </w:r>
    </w:p>
    <w:p w14:paraId="48BED117"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5B682AA8"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 xml:space="preserve">Los ingresos ascienden a 606.1 millones de pesos, estos son originados principalmente por los ingresos propios por los servicios prestados y por los ingresos derivado de la comercialización de bienes realizada por las Entidades Paraestatales Empresariales No Financieras con Participación Estatal Mayoritaria; también se registran los rendimientos obtenidos por inversiones financieras, así como los ingresos derivados de la Tarifa de Uso de Aeropuerto (TUA), renta de locales comerciales, tarjetas aeroportuarias de la Sociedad Operadora del Aeropuerto Internacional Ángel Albino Corzo. También por las reposiciones de tarjetas de acceso, renta de salas de juntas y arrendamiento por parte de la Sociedad Operadora de la Torre Chiapas. Así mismo los ingresos de Talleres Gráficos de Chiapas corresponden a la venta de bienes y prestación de servicios, tales como lonas, </w:t>
      </w:r>
      <w:proofErr w:type="spellStart"/>
      <w:r w:rsidRPr="00570879">
        <w:rPr>
          <w:rFonts w:eastAsia="Calibri" w:cs="Times New Roman"/>
          <w:iCs w:val="0"/>
          <w:szCs w:val="22"/>
          <w:lang w:val="es-MX" w:eastAsia="en-US"/>
        </w:rPr>
        <w:t>flayers</w:t>
      </w:r>
      <w:proofErr w:type="spellEnd"/>
      <w:r w:rsidRPr="00570879">
        <w:rPr>
          <w:rFonts w:eastAsia="Calibri" w:cs="Times New Roman"/>
          <w:iCs w:val="0"/>
          <w:szCs w:val="22"/>
          <w:lang w:val="es-MX" w:eastAsia="en-US"/>
        </w:rPr>
        <w:t>, carpetas, libros, tazas, playeras, bolígrafos, trípticos, medallas metálicas, diplomas, recibos oficiales de pagos, señaléticas, revistas institucionales, entre otros conceptos.</w:t>
      </w:r>
    </w:p>
    <w:p w14:paraId="46395DED" w14:textId="77777777" w:rsidR="00570879" w:rsidRPr="00570879" w:rsidRDefault="00570879" w:rsidP="00570879">
      <w:pPr>
        <w:jc w:val="both"/>
        <w:outlineLvl w:val="0"/>
        <w:rPr>
          <w:rFonts w:eastAsia="Calibri" w:cs="Times New Roman"/>
          <w:iCs w:val="0"/>
          <w:szCs w:val="22"/>
          <w:lang w:val="es-MX" w:eastAsia="en-US"/>
        </w:rPr>
      </w:pPr>
    </w:p>
    <w:p w14:paraId="10B9A02B" w14:textId="77777777" w:rsidR="00570879" w:rsidRPr="00570879" w:rsidRDefault="00570879" w:rsidP="00570879">
      <w:pPr>
        <w:jc w:val="both"/>
        <w:rPr>
          <w:rFonts w:eastAsia="Calibri"/>
          <w:b/>
          <w:bCs/>
          <w:iCs w:val="0"/>
        </w:rPr>
      </w:pPr>
      <w:r w:rsidRPr="00570879">
        <w:rPr>
          <w:rFonts w:eastAsia="Calibri"/>
          <w:b/>
          <w:bCs/>
          <w:iCs w:val="0"/>
        </w:rPr>
        <w:t>Gastos y otras pérdidas</w:t>
      </w:r>
    </w:p>
    <w:p w14:paraId="3C42416D"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54D4C817"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 xml:space="preserve">Los gastos y otras pérdidas son aquellas cuentas que registran los gastos de funcionamiento de las Entidades Paraestatales Empresariales No Financieras con Participación Estatal Mayoritaria, así como ayudas sociales aplicadas en proyectos a favor de la ciudadanía. También, se encuentra el registro de las depreciaciones de bienes muebles, inmuebles e infraestructura, así como el registro de los bienes enajenables e inventariables cuyo costo unitario de </w:t>
      </w:r>
      <w:r w:rsidRPr="00570879">
        <w:rPr>
          <w:rFonts w:eastAsia="Calibri" w:cs="Times New Roman"/>
          <w:iCs w:val="0"/>
          <w:szCs w:val="22"/>
          <w:lang w:val="es-MX" w:eastAsia="en-US"/>
        </w:rPr>
        <w:lastRenderedPageBreak/>
        <w:t xml:space="preserve">adquisición no sobrepasa 70 veces el valor diario de la Unidad de Medida y Actualización (UMA), además de las comisiones bancarias, multas, recargos y redondeos. </w:t>
      </w:r>
    </w:p>
    <w:p w14:paraId="020CFDDD" w14:textId="77777777" w:rsidR="00570879" w:rsidRPr="00570879" w:rsidRDefault="00570879" w:rsidP="00570879">
      <w:pPr>
        <w:jc w:val="both"/>
        <w:outlineLvl w:val="0"/>
        <w:rPr>
          <w:rFonts w:eastAsia="Calibri" w:cs="Times New Roman"/>
          <w:iCs w:val="0"/>
          <w:szCs w:val="22"/>
          <w:lang w:val="es-MX" w:eastAsia="en-US"/>
        </w:rPr>
      </w:pPr>
    </w:p>
    <w:p w14:paraId="4773C327"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Este rubro asciende a un importe de 796.2 millones de pesos.</w:t>
      </w:r>
    </w:p>
    <w:p w14:paraId="3F128E08" w14:textId="77777777" w:rsidR="00570879" w:rsidRPr="00570879" w:rsidRDefault="00570879" w:rsidP="00570879">
      <w:pPr>
        <w:outlineLvl w:val="0"/>
        <w:rPr>
          <w:rFonts w:eastAsia="Calibri"/>
          <w:b/>
          <w:bCs/>
          <w:iCs w:val="0"/>
          <w:szCs w:val="22"/>
          <w:lang w:val="es-MX" w:eastAsia="en-US"/>
        </w:rPr>
      </w:pPr>
    </w:p>
    <w:p w14:paraId="45DF91BD" w14:textId="77777777" w:rsidR="00570879" w:rsidRPr="00570879" w:rsidRDefault="00570879" w:rsidP="00570879">
      <w:pPr>
        <w:jc w:val="both"/>
        <w:rPr>
          <w:rFonts w:eastAsia="Calibri"/>
          <w:b/>
          <w:bCs/>
          <w:iCs w:val="0"/>
          <w:caps/>
        </w:rPr>
      </w:pPr>
      <w:r w:rsidRPr="00570879">
        <w:rPr>
          <w:rFonts w:eastAsia="Calibri"/>
          <w:b/>
          <w:bCs/>
          <w:iCs w:val="0"/>
        </w:rPr>
        <w:t>Notas al estado de situación financiera</w:t>
      </w:r>
    </w:p>
    <w:p w14:paraId="2CE6C86B" w14:textId="77777777" w:rsidR="00570879" w:rsidRPr="00570879" w:rsidRDefault="00570879" w:rsidP="00570879">
      <w:pPr>
        <w:outlineLvl w:val="0"/>
        <w:rPr>
          <w:rFonts w:eastAsia="Calibri"/>
          <w:b/>
          <w:bCs/>
          <w:iCs w:val="0"/>
          <w:szCs w:val="22"/>
          <w:lang w:val="es-MX" w:eastAsia="en-US"/>
        </w:rPr>
      </w:pPr>
    </w:p>
    <w:p w14:paraId="2CA372A9" w14:textId="77777777" w:rsidR="00570879" w:rsidRPr="00570879" w:rsidRDefault="00570879" w:rsidP="00570879">
      <w:pPr>
        <w:jc w:val="both"/>
        <w:rPr>
          <w:rFonts w:eastAsia="Calibri"/>
          <w:b/>
          <w:bCs/>
          <w:iCs w:val="0"/>
        </w:rPr>
      </w:pPr>
      <w:r w:rsidRPr="00570879">
        <w:rPr>
          <w:rFonts w:eastAsia="Calibri"/>
          <w:b/>
          <w:bCs/>
          <w:iCs w:val="0"/>
        </w:rPr>
        <w:t>Activo</w:t>
      </w:r>
    </w:p>
    <w:p w14:paraId="1572834E" w14:textId="77777777" w:rsidR="00570879" w:rsidRPr="00570879" w:rsidRDefault="00570879" w:rsidP="00570879">
      <w:pPr>
        <w:jc w:val="both"/>
        <w:rPr>
          <w:rFonts w:eastAsia="Calibri"/>
          <w:iCs w:val="0"/>
          <w:lang w:val="es-MX" w:eastAsia="en-US"/>
        </w:rPr>
      </w:pPr>
    </w:p>
    <w:bookmarkEnd w:id="2"/>
    <w:p w14:paraId="65240CDE" w14:textId="77777777" w:rsidR="00570879" w:rsidRPr="00570879" w:rsidRDefault="00570879" w:rsidP="00570879">
      <w:pPr>
        <w:jc w:val="both"/>
        <w:rPr>
          <w:rFonts w:eastAsia="Calibri" w:cs="Times New Roman"/>
          <w:iCs w:val="0"/>
          <w:szCs w:val="22"/>
          <w:lang w:val="es-MX" w:eastAsia="en-US"/>
        </w:rPr>
      </w:pPr>
      <w:r w:rsidRPr="00570879">
        <w:rPr>
          <w:rFonts w:eastAsia="Calibri" w:cs="Times New Roman"/>
          <w:iCs w:val="0"/>
          <w:szCs w:val="22"/>
          <w:lang w:val="es-MX" w:eastAsia="en-US"/>
        </w:rPr>
        <w:t>El activo se compone de los fondos, valores, derechos y bienes cuantificados en términos monetarios, los cuales controla y disponen las Entidades Paraestatales Empresariales No Financieras con Participación Estatal Mayoritaria para la prestación de servicios públicos, éste se integra como sigue:</w:t>
      </w:r>
    </w:p>
    <w:p w14:paraId="330E9011" w14:textId="77777777" w:rsidR="00570879" w:rsidRPr="00570879" w:rsidRDefault="00570879" w:rsidP="00570879">
      <w:pPr>
        <w:jc w:val="both"/>
        <w:rPr>
          <w:rFonts w:eastAsia="Calibri"/>
          <w:b/>
          <w:bCs/>
          <w:iCs w:val="0"/>
        </w:rPr>
      </w:pPr>
      <w:bookmarkStart w:id="3" w:name="_Hlk125467084"/>
      <w:r w:rsidRPr="00570879">
        <w:rPr>
          <w:rFonts w:eastAsia="Calibri"/>
          <w:b/>
          <w:bCs/>
          <w:iCs w:val="0"/>
        </w:rPr>
        <w:t>Circulante</w:t>
      </w:r>
    </w:p>
    <w:bookmarkEnd w:id="3"/>
    <w:p w14:paraId="50B9B9D6" w14:textId="77777777" w:rsidR="00570879" w:rsidRPr="00570879" w:rsidRDefault="00570879" w:rsidP="00570879">
      <w:pPr>
        <w:jc w:val="both"/>
        <w:rPr>
          <w:rFonts w:eastAsia="Calibri" w:cs="Times New Roman"/>
          <w:iCs w:val="0"/>
          <w:szCs w:val="22"/>
          <w:lang w:val="es-MX" w:eastAsia="en-US"/>
        </w:rPr>
      </w:pPr>
    </w:p>
    <w:p w14:paraId="001B2289" w14:textId="687DF7D6" w:rsidR="00570879" w:rsidRPr="00570879" w:rsidRDefault="00570879" w:rsidP="00570879">
      <w:pPr>
        <w:jc w:val="center"/>
        <w:rPr>
          <w:rFonts w:eastAsia="Calibri" w:cs="Times New Roman"/>
          <w:iCs w:val="0"/>
          <w:szCs w:val="22"/>
          <w:lang w:val="es-MX" w:eastAsia="en-US"/>
        </w:rPr>
      </w:pPr>
      <w:r>
        <w:rPr>
          <w:rFonts w:eastAsia="Calibri" w:cs="Times New Roman"/>
          <w:iCs w:val="0"/>
          <w:noProof/>
          <w:szCs w:val="22"/>
          <w:lang w:val="es-MX" w:eastAsia="en-US"/>
        </w:rPr>
        <w:drawing>
          <wp:inline distT="0" distB="0" distL="0" distR="0" wp14:anchorId="73EC00D6" wp14:editId="544D7841">
            <wp:extent cx="4320000" cy="4156054"/>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4156054"/>
                    </a:xfrm>
                    <a:prstGeom prst="rect">
                      <a:avLst/>
                    </a:prstGeom>
                    <a:noFill/>
                  </pic:spPr>
                </pic:pic>
              </a:graphicData>
            </a:graphic>
          </wp:inline>
        </w:drawing>
      </w:r>
    </w:p>
    <w:p w14:paraId="2C088271" w14:textId="77777777" w:rsidR="00570879" w:rsidRPr="00570879" w:rsidRDefault="00570879" w:rsidP="00570879">
      <w:pPr>
        <w:jc w:val="both"/>
        <w:outlineLvl w:val="0"/>
        <w:rPr>
          <w:rFonts w:eastAsia="Calibri" w:cs="Times New Roman"/>
          <w:b/>
          <w:bCs/>
          <w:i/>
          <w:szCs w:val="22"/>
          <w:lang w:val="es-MX" w:eastAsia="en-US"/>
        </w:rPr>
      </w:pPr>
    </w:p>
    <w:p w14:paraId="34B87A2B" w14:textId="77777777" w:rsidR="00570879" w:rsidRPr="00570879" w:rsidRDefault="00570879" w:rsidP="00570879">
      <w:pPr>
        <w:numPr>
          <w:ilvl w:val="1"/>
          <w:numId w:val="0"/>
        </w:numPr>
        <w:jc w:val="both"/>
        <w:rPr>
          <w:rFonts w:cs="Times New Roman"/>
          <w:b/>
          <w:i/>
          <w:iCs w:val="0"/>
          <w:szCs w:val="22"/>
          <w:u w:val="single"/>
          <w:lang w:val="es-MX" w:eastAsia="en-US"/>
        </w:rPr>
      </w:pPr>
    </w:p>
    <w:p w14:paraId="2433A21C" w14:textId="77777777" w:rsidR="00570879" w:rsidRPr="00570879" w:rsidRDefault="00570879" w:rsidP="00570879">
      <w:pPr>
        <w:numPr>
          <w:ilvl w:val="1"/>
          <w:numId w:val="0"/>
        </w:numPr>
        <w:jc w:val="both"/>
        <w:rPr>
          <w:rFonts w:cs="Times New Roman"/>
          <w:b/>
          <w:i/>
          <w:szCs w:val="22"/>
          <w:u w:val="single"/>
          <w:lang w:val="es-MX" w:eastAsia="en-US"/>
        </w:rPr>
      </w:pPr>
      <w:r w:rsidRPr="00570879">
        <w:rPr>
          <w:rFonts w:cs="Times New Roman"/>
          <w:b/>
          <w:i/>
          <w:iCs w:val="0"/>
          <w:szCs w:val="22"/>
          <w:u w:val="single"/>
          <w:lang w:val="es-MX" w:eastAsia="en-US"/>
        </w:rPr>
        <w:t>Efectivo y equivalentes</w:t>
      </w:r>
    </w:p>
    <w:p w14:paraId="6BDEC185" w14:textId="77777777" w:rsidR="00570879" w:rsidRPr="00570879" w:rsidRDefault="00570879" w:rsidP="00570879">
      <w:pPr>
        <w:jc w:val="both"/>
        <w:outlineLvl w:val="0"/>
        <w:rPr>
          <w:rFonts w:eastAsia="Calibri" w:cs="Times New Roman"/>
          <w:b/>
          <w:bCs/>
          <w:i/>
          <w:szCs w:val="22"/>
          <w:lang w:val="es-MX" w:eastAsia="en-US"/>
        </w:rPr>
      </w:pPr>
    </w:p>
    <w:p w14:paraId="5BB2F1BE" w14:textId="77777777" w:rsidR="00570879" w:rsidRPr="00570879" w:rsidRDefault="00570879" w:rsidP="00570879">
      <w:pPr>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En el cuarto trimestre del ejercicio 2023 el rubro de efectivo y equivalentes, refleja un monto de 329.3 millones de pesos, los cuales representan el 63.4 % del total del activo circulante, mismo que se integra primordialmente del recurso financiero disponible para cubrir los diversos compromisos de pago a proveedores y prestadores de servicios.</w:t>
      </w:r>
    </w:p>
    <w:p w14:paraId="7AF0EB8C"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07895EC9" w14:textId="77777777" w:rsidR="00570879" w:rsidRPr="00570879" w:rsidRDefault="00570879" w:rsidP="00570879">
      <w:pPr>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Además, se registra en este rubro lo siguiente:</w:t>
      </w:r>
    </w:p>
    <w:p w14:paraId="3C06017D"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4D73E24A" w14:textId="77777777" w:rsidR="00570879" w:rsidRPr="00570879" w:rsidRDefault="00570879" w:rsidP="00570879">
      <w:pPr>
        <w:numPr>
          <w:ilvl w:val="0"/>
          <w:numId w:val="2"/>
        </w:numPr>
        <w:spacing w:after="120"/>
        <w:ind w:left="357" w:hanging="357"/>
        <w:jc w:val="both"/>
        <w:rPr>
          <w:rFonts w:eastAsia="MS Mincho"/>
          <w:iCs w:val="0"/>
          <w:lang w:val="es-MX" w:eastAsia="es-MX"/>
        </w:rPr>
      </w:pPr>
      <w:r w:rsidRPr="00570879">
        <w:rPr>
          <w:rFonts w:eastAsia="MS Mincho"/>
          <w:iCs w:val="0"/>
          <w:lang w:val="es-MX" w:eastAsia="es-MX"/>
        </w:rPr>
        <w:t>Los recursos colocados en inversiones en mesa de dinero.</w:t>
      </w:r>
    </w:p>
    <w:p w14:paraId="71BD0E77" w14:textId="77777777" w:rsidR="00570879" w:rsidRPr="00570879" w:rsidRDefault="00570879" w:rsidP="00570879">
      <w:pPr>
        <w:numPr>
          <w:ilvl w:val="0"/>
          <w:numId w:val="2"/>
        </w:numPr>
        <w:spacing w:after="120"/>
        <w:ind w:left="357" w:hanging="357"/>
        <w:jc w:val="both"/>
        <w:rPr>
          <w:rFonts w:eastAsia="MS Mincho"/>
          <w:iCs w:val="0"/>
          <w:lang w:val="es-MX" w:eastAsia="es-MX"/>
        </w:rPr>
      </w:pPr>
      <w:r w:rsidRPr="00570879">
        <w:rPr>
          <w:rFonts w:eastAsia="MS Mincho"/>
          <w:iCs w:val="0"/>
          <w:lang w:val="es-MX" w:eastAsia="es-MX"/>
        </w:rPr>
        <w:t>Depósitos otorgados a terceros por servicios básicos y técnicos especializados.</w:t>
      </w:r>
    </w:p>
    <w:p w14:paraId="7CE0E669"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5AF43BA9" w14:textId="77777777" w:rsidR="00570879" w:rsidRPr="00570879" w:rsidRDefault="00570879" w:rsidP="00570879">
      <w:pPr>
        <w:autoSpaceDE w:val="0"/>
        <w:autoSpaceDN w:val="0"/>
        <w:adjustRightInd w:val="0"/>
        <w:jc w:val="center"/>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2BC05303" wp14:editId="0C3D5D27">
            <wp:extent cx="4126230" cy="165798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6230" cy="1657985"/>
                    </a:xfrm>
                    <a:prstGeom prst="rect">
                      <a:avLst/>
                    </a:prstGeom>
                    <a:noFill/>
                    <a:ln>
                      <a:noFill/>
                    </a:ln>
                  </pic:spPr>
                </pic:pic>
              </a:graphicData>
            </a:graphic>
          </wp:inline>
        </w:drawing>
      </w:r>
    </w:p>
    <w:p w14:paraId="66A1A36D" w14:textId="77777777" w:rsidR="00570879" w:rsidRPr="00570879" w:rsidRDefault="00570879" w:rsidP="00570879">
      <w:pPr>
        <w:autoSpaceDE w:val="0"/>
        <w:autoSpaceDN w:val="0"/>
        <w:adjustRightInd w:val="0"/>
        <w:jc w:val="center"/>
        <w:rPr>
          <w:rFonts w:eastAsia="Calibri" w:cs="Times New Roman"/>
          <w:iCs w:val="0"/>
          <w:szCs w:val="22"/>
          <w:lang w:val="es-MX" w:eastAsia="en-US"/>
        </w:rPr>
      </w:pPr>
    </w:p>
    <w:p w14:paraId="523C397C" w14:textId="77777777" w:rsidR="00570879" w:rsidRPr="00570879" w:rsidRDefault="00570879" w:rsidP="00570879">
      <w:pPr>
        <w:autoSpaceDE w:val="0"/>
        <w:autoSpaceDN w:val="0"/>
        <w:adjustRightInd w:val="0"/>
        <w:jc w:val="center"/>
        <w:rPr>
          <w:rFonts w:eastAsia="Calibri" w:cs="Times New Roman"/>
          <w:iCs w:val="0"/>
          <w:szCs w:val="22"/>
          <w:lang w:val="es-MX" w:eastAsia="en-US"/>
        </w:rPr>
      </w:pPr>
    </w:p>
    <w:p w14:paraId="6B763C3C"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Derechos a recibir efectivo o equivalentes</w:t>
      </w:r>
    </w:p>
    <w:p w14:paraId="31F1C31B"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22D6BFA6" w14:textId="77777777" w:rsidR="00570879" w:rsidRPr="00570879" w:rsidRDefault="00570879" w:rsidP="00570879">
      <w:pPr>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Este rubro del activo está compuesto por los deudores por prestación de servicios de arrendamiento de inmuebles y locales, gastos a comprobar, recursos por concepto de impuestos a favor: Impuesto Sobre la Renta (ISR), arrendamiento e Impuesto al Valor Agregado (IVA) por acreditar, cabe mencionar también que existen ingresos pendientes de recuperar derivado de un adeudo por pago de renta, correspondiente a la Sociedad Operadora de la Torre Chiapas, S.A. de C.V. Además, este rubro también refleja las cuentas pendientes por cobrar de clientes nacionales y extranjeros de la Sociedad Operadora del Aeropuerto Internacional Ángel Albino Corzo S.A. de C.V.</w:t>
      </w:r>
    </w:p>
    <w:p w14:paraId="2382F8CE" w14:textId="77777777" w:rsidR="00570879" w:rsidRPr="00570879" w:rsidRDefault="00570879" w:rsidP="00570879">
      <w:pPr>
        <w:autoSpaceDE w:val="0"/>
        <w:autoSpaceDN w:val="0"/>
        <w:adjustRightInd w:val="0"/>
        <w:jc w:val="both"/>
        <w:rPr>
          <w:rFonts w:eastAsia="Calibri" w:cs="Times New Roman"/>
          <w:iCs w:val="0"/>
          <w:szCs w:val="22"/>
          <w:highlight w:val="yellow"/>
          <w:lang w:val="es-MX" w:eastAsia="en-US"/>
        </w:rPr>
      </w:pPr>
    </w:p>
    <w:p w14:paraId="728FC4D5" w14:textId="77777777" w:rsidR="00570879" w:rsidRPr="00570879" w:rsidRDefault="00570879" w:rsidP="00570879">
      <w:pPr>
        <w:tabs>
          <w:tab w:val="left" w:pos="1418"/>
        </w:tabs>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En su totalidad este rubro asciende a 103.8 millones de pesos y representa el 20 % del activo circulante.</w:t>
      </w:r>
    </w:p>
    <w:p w14:paraId="107F22F5" w14:textId="77777777" w:rsidR="00570879" w:rsidRPr="00570879" w:rsidRDefault="00570879" w:rsidP="00570879">
      <w:pPr>
        <w:tabs>
          <w:tab w:val="left" w:pos="1418"/>
        </w:tabs>
        <w:autoSpaceDE w:val="0"/>
        <w:autoSpaceDN w:val="0"/>
        <w:adjustRightInd w:val="0"/>
        <w:jc w:val="both"/>
        <w:rPr>
          <w:rFonts w:eastAsia="Calibri" w:cs="Times New Roman"/>
          <w:b/>
          <w:iCs w:val="0"/>
          <w:szCs w:val="22"/>
          <w:lang w:val="es-MX" w:eastAsia="en-US"/>
        </w:rPr>
      </w:pPr>
    </w:p>
    <w:p w14:paraId="786CC2FA" w14:textId="77777777" w:rsidR="00570879" w:rsidRPr="00570879" w:rsidRDefault="00570879" w:rsidP="00570879">
      <w:pPr>
        <w:autoSpaceDE w:val="0"/>
        <w:autoSpaceDN w:val="0"/>
        <w:adjustRightInd w:val="0"/>
        <w:jc w:val="center"/>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292B6A73" wp14:editId="019F89FC">
            <wp:extent cx="4126230" cy="1985010"/>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6230" cy="1985010"/>
                    </a:xfrm>
                    <a:prstGeom prst="rect">
                      <a:avLst/>
                    </a:prstGeom>
                    <a:noFill/>
                    <a:ln>
                      <a:noFill/>
                    </a:ln>
                  </pic:spPr>
                </pic:pic>
              </a:graphicData>
            </a:graphic>
          </wp:inline>
        </w:drawing>
      </w:r>
    </w:p>
    <w:p w14:paraId="4DD3FF0B"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58EC241C" w14:textId="77777777" w:rsidR="00570879" w:rsidRPr="00570879" w:rsidRDefault="00570879" w:rsidP="00570879">
      <w:pPr>
        <w:numPr>
          <w:ilvl w:val="1"/>
          <w:numId w:val="0"/>
        </w:numPr>
        <w:jc w:val="both"/>
        <w:rPr>
          <w:rFonts w:cs="Times New Roman"/>
          <w:b/>
          <w:i/>
          <w:iCs w:val="0"/>
          <w:szCs w:val="22"/>
          <w:u w:val="single"/>
          <w:lang w:val="es-MX" w:eastAsia="en-US"/>
        </w:rPr>
      </w:pPr>
    </w:p>
    <w:p w14:paraId="76321B36"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Derechos a recibir bienes o servicios</w:t>
      </w:r>
    </w:p>
    <w:p w14:paraId="7B4AED09"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04746D61" w14:textId="77777777" w:rsidR="00570879" w:rsidRPr="00570879" w:rsidRDefault="00570879" w:rsidP="00570879">
      <w:pPr>
        <w:tabs>
          <w:tab w:val="left" w:pos="1418"/>
        </w:tabs>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El saldo por 82.8 millones de pesos refleja el rubro de los derechos a recibir bienes o servicios, integrado por los anticipos otorgados a contratistas para dar mantenimiento a las diferentes áreas de los aeropuertos del Estado; así como, por anticipos derivados de la adquisición de bienes muebles y prestación de servicios de las Entidades Paraestatales Empresariales No Financieras con Participación Estatal Mayoritaria; respecto al activo circulante representa el 15.9 %.</w:t>
      </w:r>
    </w:p>
    <w:p w14:paraId="0194E681" w14:textId="77777777" w:rsidR="00570879" w:rsidRPr="00570879" w:rsidRDefault="00570879" w:rsidP="00570879">
      <w:pPr>
        <w:tabs>
          <w:tab w:val="left" w:pos="1418"/>
        </w:tabs>
        <w:autoSpaceDE w:val="0"/>
        <w:autoSpaceDN w:val="0"/>
        <w:adjustRightInd w:val="0"/>
        <w:jc w:val="both"/>
        <w:rPr>
          <w:rFonts w:eastAsia="Calibri" w:cs="Times New Roman"/>
          <w:iCs w:val="0"/>
          <w:szCs w:val="22"/>
          <w:lang w:val="es-MX" w:eastAsia="en-US"/>
        </w:rPr>
      </w:pPr>
    </w:p>
    <w:p w14:paraId="485B822F" w14:textId="77777777" w:rsidR="00570879" w:rsidRPr="00570879" w:rsidRDefault="00570879" w:rsidP="00570879">
      <w:pPr>
        <w:tabs>
          <w:tab w:val="left" w:pos="1418"/>
        </w:tabs>
        <w:autoSpaceDE w:val="0"/>
        <w:autoSpaceDN w:val="0"/>
        <w:adjustRightInd w:val="0"/>
        <w:jc w:val="center"/>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607D319B" wp14:editId="3DE4F5D4">
            <wp:extent cx="4126230" cy="1628140"/>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6230" cy="1628140"/>
                    </a:xfrm>
                    <a:prstGeom prst="rect">
                      <a:avLst/>
                    </a:prstGeom>
                    <a:noFill/>
                    <a:ln>
                      <a:noFill/>
                    </a:ln>
                  </pic:spPr>
                </pic:pic>
              </a:graphicData>
            </a:graphic>
          </wp:inline>
        </w:drawing>
      </w:r>
    </w:p>
    <w:p w14:paraId="799E1C10" w14:textId="77777777" w:rsidR="00570879" w:rsidRPr="00570879" w:rsidRDefault="00570879" w:rsidP="00570879">
      <w:pPr>
        <w:tabs>
          <w:tab w:val="left" w:pos="1418"/>
        </w:tabs>
        <w:autoSpaceDE w:val="0"/>
        <w:autoSpaceDN w:val="0"/>
        <w:adjustRightInd w:val="0"/>
        <w:jc w:val="both"/>
        <w:rPr>
          <w:rFonts w:eastAsia="Calibri" w:cs="Times New Roman"/>
          <w:iCs w:val="0"/>
          <w:szCs w:val="22"/>
          <w:lang w:val="es-MX" w:eastAsia="en-US"/>
        </w:rPr>
      </w:pPr>
    </w:p>
    <w:p w14:paraId="55A7A90B"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Inventarios</w:t>
      </w:r>
    </w:p>
    <w:p w14:paraId="1C0CE79C"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361E12A1" w14:textId="77777777" w:rsidR="00570879" w:rsidRPr="00570879" w:rsidRDefault="00570879" w:rsidP="00570879">
      <w:pPr>
        <w:autoSpaceDE w:val="0"/>
        <w:autoSpaceDN w:val="0"/>
        <w:adjustRightInd w:val="0"/>
        <w:jc w:val="both"/>
        <w:rPr>
          <w:rFonts w:eastAsia="Calibri" w:cs="Times New Roman"/>
          <w:iCs w:val="0"/>
          <w:szCs w:val="22"/>
          <w:lang w:val="es-MX" w:eastAsia="es-MX"/>
        </w:rPr>
      </w:pPr>
      <w:r w:rsidRPr="00570879">
        <w:rPr>
          <w:rFonts w:eastAsia="Calibri" w:cs="Times New Roman"/>
          <w:iCs w:val="0"/>
          <w:szCs w:val="22"/>
          <w:lang w:val="es-MX" w:eastAsia="es-MX"/>
        </w:rPr>
        <w:t>Del 1 de enero al 31 de diciembre de 2023, este rubro asciende a 1.2 millones de pesos, los cuales reflejan la materia prima para llevar a cabo la elaboración de artículos sublimados destinados a la venta</w:t>
      </w:r>
      <w:r w:rsidRPr="00570879">
        <w:rPr>
          <w:rFonts w:eastAsia="Calibri" w:cs="Times New Roman"/>
          <w:iCs w:val="0"/>
          <w:szCs w:val="22"/>
          <w:lang w:val="es-MX" w:eastAsia="en-US"/>
        </w:rPr>
        <w:t>, representa el 0.2 % del activo circulante.</w:t>
      </w:r>
    </w:p>
    <w:p w14:paraId="3ABD84DA" w14:textId="77777777" w:rsidR="00570879" w:rsidRPr="00570879" w:rsidRDefault="00570879" w:rsidP="00570879">
      <w:pPr>
        <w:autoSpaceDE w:val="0"/>
        <w:autoSpaceDN w:val="0"/>
        <w:adjustRightInd w:val="0"/>
        <w:jc w:val="both"/>
        <w:rPr>
          <w:rFonts w:eastAsia="Calibri" w:cs="Times New Roman"/>
          <w:iCs w:val="0"/>
          <w:szCs w:val="22"/>
          <w:lang w:val="es-MX" w:eastAsia="es-MX"/>
        </w:rPr>
      </w:pPr>
    </w:p>
    <w:p w14:paraId="139E7B49" w14:textId="77777777" w:rsidR="00570879" w:rsidRPr="00570879" w:rsidRDefault="00570879" w:rsidP="00570879">
      <w:pPr>
        <w:autoSpaceDE w:val="0"/>
        <w:autoSpaceDN w:val="0"/>
        <w:adjustRightInd w:val="0"/>
        <w:jc w:val="center"/>
        <w:rPr>
          <w:rFonts w:eastAsia="Calibri" w:cs="Times New Roman"/>
          <w:iCs w:val="0"/>
          <w:szCs w:val="22"/>
          <w:lang w:val="es-MX" w:eastAsia="es-MX"/>
        </w:rPr>
      </w:pPr>
      <w:r w:rsidRPr="00570879">
        <w:rPr>
          <w:rFonts w:ascii="Calibri" w:eastAsia="Calibri" w:hAnsi="Calibri" w:cs="Times New Roman"/>
          <w:iCs w:val="0"/>
          <w:noProof/>
          <w:sz w:val="22"/>
          <w:szCs w:val="22"/>
          <w:lang w:val="es-MX" w:eastAsia="es-MX"/>
        </w:rPr>
        <w:drawing>
          <wp:inline distT="0" distB="0" distL="0" distR="0" wp14:anchorId="13B7A840" wp14:editId="07BE57C0">
            <wp:extent cx="4126230" cy="1144905"/>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6230" cy="1144905"/>
                    </a:xfrm>
                    <a:prstGeom prst="rect">
                      <a:avLst/>
                    </a:prstGeom>
                    <a:noFill/>
                    <a:ln>
                      <a:noFill/>
                    </a:ln>
                  </pic:spPr>
                </pic:pic>
              </a:graphicData>
            </a:graphic>
          </wp:inline>
        </w:drawing>
      </w:r>
    </w:p>
    <w:p w14:paraId="41EC5C10" w14:textId="77777777" w:rsidR="00570879" w:rsidRPr="00570879" w:rsidRDefault="00570879" w:rsidP="00570879">
      <w:pPr>
        <w:autoSpaceDE w:val="0"/>
        <w:autoSpaceDN w:val="0"/>
        <w:adjustRightInd w:val="0"/>
        <w:jc w:val="both"/>
        <w:rPr>
          <w:rFonts w:eastAsia="Calibri" w:cs="Times New Roman"/>
          <w:iCs w:val="0"/>
          <w:szCs w:val="22"/>
          <w:lang w:val="es-MX" w:eastAsia="es-MX"/>
        </w:rPr>
      </w:pPr>
    </w:p>
    <w:p w14:paraId="2394A2AA" w14:textId="77777777" w:rsidR="00570879" w:rsidRPr="00570879" w:rsidRDefault="00570879" w:rsidP="00570879">
      <w:pPr>
        <w:autoSpaceDE w:val="0"/>
        <w:autoSpaceDN w:val="0"/>
        <w:adjustRightInd w:val="0"/>
        <w:jc w:val="both"/>
        <w:rPr>
          <w:rFonts w:eastAsia="Calibri" w:cs="Times New Roman"/>
          <w:iCs w:val="0"/>
          <w:szCs w:val="22"/>
          <w:lang w:val="es-MX" w:eastAsia="es-MX"/>
        </w:rPr>
      </w:pPr>
    </w:p>
    <w:p w14:paraId="183106DD"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Almacenes</w:t>
      </w:r>
    </w:p>
    <w:p w14:paraId="2BE0FB1E"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710E7587" w14:textId="77777777" w:rsidR="00570879" w:rsidRPr="00570879" w:rsidRDefault="00570879" w:rsidP="00570879">
      <w:pPr>
        <w:autoSpaceDE w:val="0"/>
        <w:autoSpaceDN w:val="0"/>
        <w:adjustRightInd w:val="0"/>
        <w:jc w:val="both"/>
        <w:rPr>
          <w:rFonts w:eastAsia="Calibri" w:cs="Times New Roman"/>
          <w:iCs w:val="0"/>
          <w:szCs w:val="22"/>
          <w:lang w:val="es-MX" w:eastAsia="es-MX"/>
        </w:rPr>
      </w:pPr>
      <w:r w:rsidRPr="00570879">
        <w:rPr>
          <w:rFonts w:eastAsia="Calibri" w:cs="Times New Roman"/>
          <w:iCs w:val="0"/>
          <w:szCs w:val="22"/>
          <w:lang w:val="es-MX" w:eastAsia="es-MX"/>
        </w:rPr>
        <w:t xml:space="preserve">El rubro de almacenes asciende a 9.9 millones de pesos y refleja la existencia física de materias primas y de consumibles que se tienen en los almacenes al 31 de diciembre de 2023, integrado principalmente por </w:t>
      </w:r>
      <w:r w:rsidRPr="00570879">
        <w:rPr>
          <w:rFonts w:eastAsia="Calibri" w:cs="Times New Roman"/>
          <w:iCs w:val="0"/>
          <w:szCs w:val="22"/>
          <w:lang w:val="es-MX" w:eastAsia="en-US"/>
        </w:rPr>
        <w:t>materiales y suministro de consumo, como son los materiales y útiles de oficina, de impresión y reproducción; respecto al activo circulante representa el 1.9 %.</w:t>
      </w:r>
    </w:p>
    <w:p w14:paraId="52BFAEC2" w14:textId="77777777" w:rsidR="00570879" w:rsidRPr="00570879" w:rsidRDefault="00570879" w:rsidP="00570879">
      <w:pPr>
        <w:autoSpaceDE w:val="0"/>
        <w:autoSpaceDN w:val="0"/>
        <w:adjustRightInd w:val="0"/>
        <w:jc w:val="both"/>
        <w:rPr>
          <w:rFonts w:eastAsia="Calibri" w:cs="Times New Roman"/>
          <w:iCs w:val="0"/>
          <w:szCs w:val="22"/>
          <w:lang w:val="es-MX" w:eastAsia="es-MX"/>
        </w:rPr>
      </w:pPr>
    </w:p>
    <w:p w14:paraId="1EA025EA" w14:textId="77777777" w:rsidR="00570879" w:rsidRPr="00570879" w:rsidRDefault="00570879" w:rsidP="00570879">
      <w:pPr>
        <w:autoSpaceDE w:val="0"/>
        <w:autoSpaceDN w:val="0"/>
        <w:adjustRightInd w:val="0"/>
        <w:jc w:val="center"/>
        <w:rPr>
          <w:rFonts w:eastAsia="Calibri" w:cs="Times New Roman"/>
          <w:iCs w:val="0"/>
          <w:szCs w:val="22"/>
          <w:lang w:val="es-MX" w:eastAsia="es-MX"/>
        </w:rPr>
      </w:pPr>
      <w:r w:rsidRPr="00570879">
        <w:rPr>
          <w:rFonts w:ascii="Calibri" w:eastAsia="Calibri" w:hAnsi="Calibri" w:cs="Times New Roman"/>
          <w:iCs w:val="0"/>
          <w:noProof/>
          <w:sz w:val="22"/>
          <w:szCs w:val="22"/>
          <w:lang w:val="es-MX" w:eastAsia="es-MX"/>
        </w:rPr>
        <w:drawing>
          <wp:inline distT="0" distB="0" distL="0" distR="0" wp14:anchorId="2C391294" wp14:editId="248A8997">
            <wp:extent cx="4126230" cy="1144905"/>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6230" cy="1144905"/>
                    </a:xfrm>
                    <a:prstGeom prst="rect">
                      <a:avLst/>
                    </a:prstGeom>
                    <a:noFill/>
                    <a:ln>
                      <a:noFill/>
                    </a:ln>
                  </pic:spPr>
                </pic:pic>
              </a:graphicData>
            </a:graphic>
          </wp:inline>
        </w:drawing>
      </w:r>
    </w:p>
    <w:p w14:paraId="00DB48E5" w14:textId="77777777" w:rsidR="00570879" w:rsidRPr="00570879" w:rsidRDefault="00570879" w:rsidP="00570879">
      <w:pPr>
        <w:autoSpaceDE w:val="0"/>
        <w:autoSpaceDN w:val="0"/>
        <w:adjustRightInd w:val="0"/>
        <w:jc w:val="both"/>
        <w:rPr>
          <w:rFonts w:eastAsia="Calibri" w:cs="Times New Roman"/>
          <w:iCs w:val="0"/>
          <w:szCs w:val="22"/>
          <w:lang w:val="es-MX" w:eastAsia="es-MX"/>
        </w:rPr>
      </w:pPr>
    </w:p>
    <w:p w14:paraId="77882638" w14:textId="77777777" w:rsidR="00570879" w:rsidRPr="00570879" w:rsidRDefault="00570879" w:rsidP="00570879">
      <w:pPr>
        <w:autoSpaceDE w:val="0"/>
        <w:autoSpaceDN w:val="0"/>
        <w:adjustRightInd w:val="0"/>
        <w:jc w:val="both"/>
        <w:rPr>
          <w:rFonts w:eastAsia="Calibri" w:cs="Times New Roman"/>
          <w:iCs w:val="0"/>
          <w:szCs w:val="22"/>
          <w:lang w:val="es-MX" w:eastAsia="es-MX"/>
        </w:rPr>
      </w:pPr>
    </w:p>
    <w:p w14:paraId="7802A895"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Estimación por pérdida o deterioro de activos circulantes</w:t>
      </w:r>
    </w:p>
    <w:p w14:paraId="190A567D"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highlight w:val="yellow"/>
          <w:lang w:val="es-MX" w:eastAsia="en-US"/>
        </w:rPr>
      </w:pPr>
    </w:p>
    <w:p w14:paraId="3CA4C4B7" w14:textId="77777777" w:rsidR="00570879" w:rsidRPr="00570879" w:rsidRDefault="00570879" w:rsidP="00570879">
      <w:pPr>
        <w:autoSpaceDE w:val="0"/>
        <w:autoSpaceDN w:val="0"/>
        <w:adjustRightInd w:val="0"/>
        <w:jc w:val="both"/>
        <w:rPr>
          <w:rFonts w:eastAsia="Calibri" w:cs="Times New Roman"/>
          <w:iCs w:val="0"/>
          <w:szCs w:val="22"/>
          <w:lang w:val="es-MX" w:eastAsia="es-MX"/>
        </w:rPr>
      </w:pPr>
      <w:r w:rsidRPr="00570879">
        <w:rPr>
          <w:rFonts w:eastAsia="Calibri" w:cs="Times New Roman"/>
          <w:iCs w:val="0"/>
          <w:szCs w:val="22"/>
          <w:lang w:val="es-MX" w:eastAsia="es-MX"/>
        </w:rPr>
        <w:t>Al 31 de diciembre de 2023 este rubro tiene la cifra negativa por 8.2 millones de pesos, el cual representa una disminución del 1.5 % del activo circulante y refleja la estimación de los riesgos de incobrabilidad que implican las cuentas por cobrar pertenecientes a clientes nacionales e internacionales de la Sociedad Operadora del Aeropuerto Internacional Ángel Albino Corzo, S.A de C.V.</w:t>
      </w:r>
    </w:p>
    <w:p w14:paraId="181B6904" w14:textId="77777777" w:rsidR="00570879" w:rsidRPr="00570879" w:rsidRDefault="00570879" w:rsidP="00570879">
      <w:pPr>
        <w:tabs>
          <w:tab w:val="left" w:pos="1418"/>
        </w:tabs>
        <w:autoSpaceDE w:val="0"/>
        <w:autoSpaceDN w:val="0"/>
        <w:adjustRightInd w:val="0"/>
        <w:jc w:val="both"/>
        <w:rPr>
          <w:rFonts w:eastAsia="Calibri" w:cs="Times New Roman"/>
          <w:iCs w:val="0"/>
          <w:szCs w:val="22"/>
          <w:highlight w:val="yellow"/>
          <w:lang w:val="es-MX" w:eastAsia="es-MX"/>
        </w:rPr>
      </w:pPr>
    </w:p>
    <w:p w14:paraId="6E986B55" w14:textId="77777777" w:rsidR="00570879" w:rsidRPr="00570879" w:rsidRDefault="00570879" w:rsidP="00570879">
      <w:pPr>
        <w:tabs>
          <w:tab w:val="left" w:pos="1418"/>
        </w:tabs>
        <w:autoSpaceDE w:val="0"/>
        <w:autoSpaceDN w:val="0"/>
        <w:adjustRightInd w:val="0"/>
        <w:jc w:val="center"/>
        <w:rPr>
          <w:rFonts w:eastAsia="Calibri" w:cs="Times New Roman"/>
          <w:iCs w:val="0"/>
          <w:szCs w:val="22"/>
          <w:lang w:val="es-MX" w:eastAsia="es-MX"/>
        </w:rPr>
      </w:pPr>
      <w:r w:rsidRPr="00570879">
        <w:rPr>
          <w:rFonts w:ascii="Calibri" w:eastAsia="Calibri" w:hAnsi="Calibri" w:cs="Times New Roman"/>
          <w:iCs w:val="0"/>
          <w:noProof/>
          <w:sz w:val="22"/>
          <w:szCs w:val="22"/>
          <w:lang w:val="es-MX" w:eastAsia="es-MX"/>
        </w:rPr>
        <w:drawing>
          <wp:inline distT="0" distB="0" distL="0" distR="0" wp14:anchorId="71CD26D1" wp14:editId="66570C45">
            <wp:extent cx="4126230" cy="1494155"/>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6230" cy="1494155"/>
                    </a:xfrm>
                    <a:prstGeom prst="rect">
                      <a:avLst/>
                    </a:prstGeom>
                    <a:noFill/>
                    <a:ln>
                      <a:noFill/>
                    </a:ln>
                  </pic:spPr>
                </pic:pic>
              </a:graphicData>
            </a:graphic>
          </wp:inline>
        </w:drawing>
      </w:r>
    </w:p>
    <w:p w14:paraId="685A9483" w14:textId="77777777" w:rsidR="00570879" w:rsidRPr="00570879" w:rsidRDefault="00570879" w:rsidP="00570879">
      <w:pPr>
        <w:autoSpaceDE w:val="0"/>
        <w:autoSpaceDN w:val="0"/>
        <w:adjustRightInd w:val="0"/>
        <w:jc w:val="both"/>
        <w:rPr>
          <w:rFonts w:eastAsia="Calibri" w:cs="Times New Roman"/>
          <w:iCs w:val="0"/>
          <w:szCs w:val="22"/>
          <w:lang w:val="es-MX" w:eastAsia="es-MX"/>
        </w:rPr>
      </w:pPr>
    </w:p>
    <w:p w14:paraId="76005082" w14:textId="77777777" w:rsidR="00570879" w:rsidRPr="00570879" w:rsidRDefault="00570879" w:rsidP="00570879">
      <w:pPr>
        <w:autoSpaceDE w:val="0"/>
        <w:autoSpaceDN w:val="0"/>
        <w:adjustRightInd w:val="0"/>
        <w:jc w:val="both"/>
        <w:rPr>
          <w:rFonts w:eastAsia="Calibri" w:cs="Times New Roman"/>
          <w:iCs w:val="0"/>
          <w:szCs w:val="22"/>
          <w:lang w:val="es-MX" w:eastAsia="es-MX"/>
        </w:rPr>
      </w:pPr>
    </w:p>
    <w:p w14:paraId="356396B9"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Otros activos circulantes</w:t>
      </w:r>
    </w:p>
    <w:p w14:paraId="4899FD6A"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569BACEA" w14:textId="77777777" w:rsidR="00570879" w:rsidRPr="00570879" w:rsidRDefault="00570879" w:rsidP="00570879">
      <w:pPr>
        <w:autoSpaceDE w:val="0"/>
        <w:autoSpaceDN w:val="0"/>
        <w:adjustRightInd w:val="0"/>
        <w:jc w:val="both"/>
        <w:rPr>
          <w:rFonts w:eastAsia="Calibri" w:cs="Times New Roman"/>
          <w:iCs w:val="0"/>
          <w:szCs w:val="22"/>
          <w:lang w:val="es-MX" w:eastAsia="es-MX"/>
        </w:rPr>
      </w:pPr>
      <w:r w:rsidRPr="00570879">
        <w:rPr>
          <w:rFonts w:eastAsia="Calibri" w:cs="Times New Roman"/>
          <w:iCs w:val="0"/>
          <w:szCs w:val="22"/>
          <w:lang w:val="es-MX" w:eastAsia="es-MX"/>
        </w:rPr>
        <w:t xml:space="preserve">Este rubro asciende a 0.6 millones de pesos y refleja los depósitos otorgados a terceros para garantizar los servicios de energía eléctrica y telefonía celular correspondiente a la Sociedad Operadora de la Torre Chiapas S.A. de C.V. </w:t>
      </w:r>
    </w:p>
    <w:p w14:paraId="2D456BF2" w14:textId="77777777" w:rsidR="00570879" w:rsidRPr="00570879" w:rsidRDefault="00570879" w:rsidP="00570879">
      <w:pPr>
        <w:autoSpaceDE w:val="0"/>
        <w:autoSpaceDN w:val="0"/>
        <w:adjustRightInd w:val="0"/>
        <w:jc w:val="both"/>
        <w:rPr>
          <w:rFonts w:eastAsia="Calibri" w:cs="Times New Roman"/>
          <w:iCs w:val="0"/>
          <w:szCs w:val="22"/>
          <w:lang w:val="es-MX" w:eastAsia="es-MX"/>
        </w:rPr>
      </w:pPr>
    </w:p>
    <w:p w14:paraId="5B4ADBB5" w14:textId="77777777" w:rsidR="00570879" w:rsidRPr="00570879" w:rsidRDefault="00570879" w:rsidP="00570879">
      <w:pPr>
        <w:autoSpaceDE w:val="0"/>
        <w:autoSpaceDN w:val="0"/>
        <w:adjustRightInd w:val="0"/>
        <w:jc w:val="both"/>
        <w:rPr>
          <w:rFonts w:eastAsia="Calibri" w:cs="Times New Roman"/>
          <w:iCs w:val="0"/>
          <w:szCs w:val="22"/>
          <w:lang w:val="es-MX" w:eastAsia="es-MX"/>
        </w:rPr>
      </w:pPr>
      <w:r w:rsidRPr="00570879">
        <w:rPr>
          <w:rFonts w:eastAsia="Calibri" w:cs="Times New Roman"/>
          <w:iCs w:val="0"/>
          <w:szCs w:val="22"/>
          <w:lang w:val="es-MX" w:eastAsia="es-MX"/>
        </w:rPr>
        <w:t>Representando el 0.1 % del activo circulante.</w:t>
      </w:r>
    </w:p>
    <w:p w14:paraId="61DBA2D1" w14:textId="77777777" w:rsidR="00570879" w:rsidRPr="00570879" w:rsidRDefault="00570879" w:rsidP="00570879">
      <w:pPr>
        <w:autoSpaceDE w:val="0"/>
        <w:autoSpaceDN w:val="0"/>
        <w:adjustRightInd w:val="0"/>
        <w:jc w:val="both"/>
        <w:rPr>
          <w:rFonts w:eastAsia="Calibri" w:cs="Times New Roman"/>
          <w:iCs w:val="0"/>
          <w:szCs w:val="22"/>
          <w:lang w:val="es-MX" w:eastAsia="es-MX"/>
        </w:rPr>
      </w:pPr>
    </w:p>
    <w:p w14:paraId="420213A0" w14:textId="77777777" w:rsidR="00570879" w:rsidRPr="00570879" w:rsidRDefault="00570879" w:rsidP="00570879">
      <w:pPr>
        <w:autoSpaceDE w:val="0"/>
        <w:autoSpaceDN w:val="0"/>
        <w:adjustRightInd w:val="0"/>
        <w:jc w:val="center"/>
        <w:rPr>
          <w:rFonts w:eastAsia="Calibri" w:cs="Times New Roman"/>
          <w:b/>
          <w:bCs/>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347EA615" wp14:editId="79B6467F">
            <wp:extent cx="4126230" cy="1010920"/>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6230" cy="1010920"/>
                    </a:xfrm>
                    <a:prstGeom prst="rect">
                      <a:avLst/>
                    </a:prstGeom>
                    <a:noFill/>
                    <a:ln>
                      <a:noFill/>
                    </a:ln>
                  </pic:spPr>
                </pic:pic>
              </a:graphicData>
            </a:graphic>
          </wp:inline>
        </w:drawing>
      </w:r>
    </w:p>
    <w:p w14:paraId="64B7C9F3" w14:textId="77777777" w:rsidR="00570879" w:rsidRPr="00570879" w:rsidRDefault="00570879" w:rsidP="00570879">
      <w:pPr>
        <w:autoSpaceDE w:val="0"/>
        <w:autoSpaceDN w:val="0"/>
        <w:adjustRightInd w:val="0"/>
        <w:jc w:val="both"/>
        <w:rPr>
          <w:rFonts w:eastAsia="Calibri" w:cs="Times New Roman"/>
          <w:b/>
          <w:bCs/>
          <w:iCs w:val="0"/>
          <w:szCs w:val="22"/>
          <w:lang w:val="es-MX" w:eastAsia="en-US"/>
        </w:rPr>
      </w:pPr>
    </w:p>
    <w:p w14:paraId="79CB4D89" w14:textId="77777777" w:rsidR="00570879" w:rsidRPr="00570879" w:rsidRDefault="00570879" w:rsidP="00570879">
      <w:pPr>
        <w:autoSpaceDE w:val="0"/>
        <w:autoSpaceDN w:val="0"/>
        <w:adjustRightInd w:val="0"/>
        <w:jc w:val="both"/>
        <w:rPr>
          <w:rFonts w:eastAsia="Calibri" w:cs="Times New Roman"/>
          <w:b/>
          <w:bCs/>
          <w:iCs w:val="0"/>
          <w:szCs w:val="22"/>
          <w:lang w:val="es-MX" w:eastAsia="en-US"/>
        </w:rPr>
      </w:pPr>
    </w:p>
    <w:p w14:paraId="076A6DF2" w14:textId="77777777" w:rsidR="00570879" w:rsidRPr="00570879" w:rsidRDefault="00570879" w:rsidP="00570879">
      <w:pPr>
        <w:jc w:val="both"/>
        <w:rPr>
          <w:rFonts w:eastAsia="Calibri"/>
          <w:b/>
          <w:bCs/>
          <w:iCs w:val="0"/>
        </w:rPr>
      </w:pPr>
      <w:r w:rsidRPr="00570879">
        <w:rPr>
          <w:rFonts w:eastAsia="Calibri"/>
          <w:b/>
          <w:bCs/>
          <w:iCs w:val="0"/>
        </w:rPr>
        <w:t>No circulante</w:t>
      </w:r>
    </w:p>
    <w:p w14:paraId="1908830E" w14:textId="77777777" w:rsidR="00570879" w:rsidRPr="00570879" w:rsidRDefault="00570879" w:rsidP="00570879">
      <w:pPr>
        <w:autoSpaceDE w:val="0"/>
        <w:autoSpaceDN w:val="0"/>
        <w:adjustRightInd w:val="0"/>
        <w:jc w:val="both"/>
        <w:rPr>
          <w:rFonts w:eastAsia="Calibri"/>
          <w:b/>
          <w:bCs/>
          <w:iCs w:val="0"/>
          <w:lang w:val="es-MX" w:eastAsia="en-US"/>
        </w:rPr>
      </w:pPr>
    </w:p>
    <w:p w14:paraId="76987504" w14:textId="77777777" w:rsidR="00570879" w:rsidRPr="00570879" w:rsidRDefault="00570879" w:rsidP="00570879">
      <w:pPr>
        <w:autoSpaceDE w:val="0"/>
        <w:autoSpaceDN w:val="0"/>
        <w:adjustRightInd w:val="0"/>
        <w:jc w:val="center"/>
        <w:rPr>
          <w:rFonts w:eastAsia="Calibri" w:cs="Times New Roman"/>
          <w:b/>
          <w:bCs/>
          <w:iCs w:val="0"/>
          <w:noProof/>
          <w:szCs w:val="22"/>
          <w:lang w:val="es-MX" w:eastAsia="es-MX"/>
        </w:rPr>
      </w:pPr>
      <w:r w:rsidRPr="00570879">
        <w:rPr>
          <w:rFonts w:ascii="Calibri" w:eastAsia="Calibri" w:hAnsi="Calibri" w:cs="Times New Roman"/>
          <w:iCs w:val="0"/>
          <w:noProof/>
          <w:sz w:val="22"/>
          <w:szCs w:val="22"/>
          <w:lang w:val="es-MX" w:eastAsia="es-MX"/>
        </w:rPr>
        <w:drawing>
          <wp:inline distT="0" distB="0" distL="0" distR="0" wp14:anchorId="60BB724B" wp14:editId="2282C6A7">
            <wp:extent cx="4320000" cy="3925055"/>
            <wp:effectExtent l="0" t="0" r="444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000" cy="3925055"/>
                    </a:xfrm>
                    <a:prstGeom prst="rect">
                      <a:avLst/>
                    </a:prstGeom>
                    <a:noFill/>
                    <a:ln>
                      <a:noFill/>
                    </a:ln>
                  </pic:spPr>
                </pic:pic>
              </a:graphicData>
            </a:graphic>
          </wp:inline>
        </w:drawing>
      </w:r>
    </w:p>
    <w:p w14:paraId="51CE1EDA" w14:textId="77777777" w:rsidR="00570879" w:rsidRPr="00570879" w:rsidRDefault="00570879" w:rsidP="00570879">
      <w:pPr>
        <w:numPr>
          <w:ilvl w:val="1"/>
          <w:numId w:val="0"/>
        </w:numPr>
        <w:jc w:val="both"/>
        <w:rPr>
          <w:rFonts w:cs="Times New Roman"/>
          <w:b/>
          <w:i/>
          <w:iCs w:val="0"/>
          <w:szCs w:val="22"/>
          <w:u w:val="single"/>
          <w:lang w:val="es-MX" w:eastAsia="en-US"/>
        </w:rPr>
      </w:pPr>
    </w:p>
    <w:p w14:paraId="6B826989"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Derechos a recibir efectivo o equivalentes a largo plazo</w:t>
      </w:r>
    </w:p>
    <w:p w14:paraId="05178C88"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7376F646" w14:textId="77777777" w:rsidR="00570879" w:rsidRPr="00570879" w:rsidRDefault="00570879" w:rsidP="00570879">
      <w:pPr>
        <w:tabs>
          <w:tab w:val="left" w:pos="1418"/>
        </w:tabs>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Este rubro al periodo que se informa del activo asciende a 34.9 millones de pesos y representa el 3.9 % del activo no circulante está compuesto por, las cuentas que presenta Talleres Gráficos, las cuales se encuentran pendientes de cobro a diversos entes del Gobierno del Estado, mismos que corresponden a ejercicios anteriores y gastos a comprobar.</w:t>
      </w:r>
    </w:p>
    <w:p w14:paraId="35D2D677" w14:textId="77777777" w:rsidR="00570879" w:rsidRPr="00570879" w:rsidRDefault="00570879" w:rsidP="00570879">
      <w:pPr>
        <w:tabs>
          <w:tab w:val="left" w:pos="1418"/>
        </w:tabs>
        <w:autoSpaceDE w:val="0"/>
        <w:autoSpaceDN w:val="0"/>
        <w:adjustRightInd w:val="0"/>
        <w:jc w:val="both"/>
        <w:rPr>
          <w:rFonts w:eastAsia="Calibri" w:cs="Times New Roman"/>
          <w:iCs w:val="0"/>
          <w:szCs w:val="22"/>
          <w:lang w:val="es-MX" w:eastAsia="en-US"/>
        </w:rPr>
      </w:pPr>
    </w:p>
    <w:p w14:paraId="747A5098" w14:textId="77777777" w:rsidR="00570879" w:rsidRPr="00570879" w:rsidRDefault="00570879" w:rsidP="00570879">
      <w:pPr>
        <w:tabs>
          <w:tab w:val="left" w:pos="1418"/>
        </w:tabs>
        <w:autoSpaceDE w:val="0"/>
        <w:autoSpaceDN w:val="0"/>
        <w:adjustRightInd w:val="0"/>
        <w:jc w:val="center"/>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6A743BF4" wp14:editId="082D023F">
            <wp:extent cx="4126230" cy="1524000"/>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6230" cy="1524000"/>
                    </a:xfrm>
                    <a:prstGeom prst="rect">
                      <a:avLst/>
                    </a:prstGeom>
                    <a:noFill/>
                    <a:ln>
                      <a:noFill/>
                    </a:ln>
                  </pic:spPr>
                </pic:pic>
              </a:graphicData>
            </a:graphic>
          </wp:inline>
        </w:drawing>
      </w:r>
    </w:p>
    <w:p w14:paraId="1372CE5C" w14:textId="0E0BCC30" w:rsid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75A506E8" w14:textId="5706D855" w:rsid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3CA61E01" w14:textId="4BD9E022" w:rsid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0078550B"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36634BB5"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Bienes inmuebles, infraestructura y construcciones en proceso</w:t>
      </w:r>
    </w:p>
    <w:p w14:paraId="1A5C1FA5" w14:textId="77777777" w:rsidR="00570879" w:rsidRPr="00570879" w:rsidRDefault="00570879" w:rsidP="00570879">
      <w:pPr>
        <w:jc w:val="both"/>
        <w:rPr>
          <w:rFonts w:eastAsia="Calibri" w:cs="Times New Roman"/>
          <w:iCs w:val="0"/>
          <w:szCs w:val="22"/>
          <w:lang w:val="es-MX" w:eastAsia="en-US"/>
        </w:rPr>
      </w:pPr>
    </w:p>
    <w:p w14:paraId="5B36BBF4" w14:textId="77777777" w:rsidR="00570879" w:rsidRPr="00570879" w:rsidRDefault="00570879" w:rsidP="00570879">
      <w:pPr>
        <w:jc w:val="both"/>
        <w:rPr>
          <w:rFonts w:eastAsia="Calibri" w:cs="Times New Roman"/>
          <w:b/>
          <w:bCs/>
          <w:i/>
          <w:szCs w:val="22"/>
          <w:lang w:val="es-MX" w:eastAsia="en-US"/>
        </w:rPr>
      </w:pPr>
      <w:r w:rsidRPr="00570879">
        <w:rPr>
          <w:rFonts w:eastAsia="Calibri" w:cs="Times New Roman"/>
          <w:iCs w:val="0"/>
          <w:szCs w:val="22"/>
          <w:lang w:val="es-MX" w:eastAsia="en-US"/>
        </w:rPr>
        <w:t>Este rubro del activo refleja la cifra de 1 mil 285.7 millones de pesos y representa el valor de la infraestructura tangible, edificios no habitacionales y terrenos propiedad de las Entidades Paraestatales Empresariales No Financieras con Participación Estatal Mayoritaria, así como, el valor de las obras que se encuentran en proceso de ejecución en bienes propios.</w:t>
      </w:r>
    </w:p>
    <w:p w14:paraId="5DD576A0" w14:textId="77777777" w:rsidR="00570879" w:rsidRPr="00570879" w:rsidRDefault="00570879" w:rsidP="00570879">
      <w:pPr>
        <w:jc w:val="both"/>
        <w:rPr>
          <w:rFonts w:eastAsia="Calibri" w:cs="Times New Roman"/>
          <w:iCs w:val="0"/>
          <w:szCs w:val="22"/>
          <w:highlight w:val="yellow"/>
          <w:lang w:val="es-MX" w:eastAsia="en-US"/>
        </w:rPr>
      </w:pPr>
    </w:p>
    <w:p w14:paraId="6134C30C" w14:textId="77777777" w:rsidR="00570879" w:rsidRPr="00570879" w:rsidRDefault="00570879" w:rsidP="00570879">
      <w:pPr>
        <w:jc w:val="both"/>
        <w:rPr>
          <w:rFonts w:eastAsia="Calibri" w:cs="Times New Roman"/>
          <w:iCs w:val="0"/>
          <w:szCs w:val="22"/>
          <w:lang w:val="es-MX" w:eastAsia="en-US"/>
        </w:rPr>
      </w:pPr>
      <w:r w:rsidRPr="00570879">
        <w:rPr>
          <w:rFonts w:eastAsia="Calibri" w:cs="Times New Roman"/>
          <w:iCs w:val="0"/>
          <w:szCs w:val="22"/>
          <w:lang w:val="es-MX" w:eastAsia="en-US"/>
        </w:rPr>
        <w:t>Este rubro representa el 44 % mayor, respecto al total del activo no circulante.</w:t>
      </w:r>
    </w:p>
    <w:p w14:paraId="402B84EB" w14:textId="77777777" w:rsidR="00570879" w:rsidRPr="00570879" w:rsidRDefault="00570879" w:rsidP="00570879">
      <w:pPr>
        <w:jc w:val="both"/>
        <w:rPr>
          <w:rFonts w:eastAsia="Calibri" w:cs="Times New Roman"/>
          <w:iCs w:val="0"/>
          <w:szCs w:val="22"/>
          <w:lang w:val="es-MX" w:eastAsia="en-US"/>
        </w:rPr>
      </w:pPr>
    </w:p>
    <w:p w14:paraId="6096F1E1" w14:textId="77777777" w:rsidR="00570879" w:rsidRPr="00570879" w:rsidRDefault="00570879" w:rsidP="00570879">
      <w:pPr>
        <w:jc w:val="center"/>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41BBCF01" wp14:editId="5D0121F8">
            <wp:extent cx="4126230" cy="1851025"/>
            <wp:effectExtent l="0" t="0" r="762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6230" cy="1851025"/>
                    </a:xfrm>
                    <a:prstGeom prst="rect">
                      <a:avLst/>
                    </a:prstGeom>
                    <a:noFill/>
                    <a:ln>
                      <a:noFill/>
                    </a:ln>
                  </pic:spPr>
                </pic:pic>
              </a:graphicData>
            </a:graphic>
          </wp:inline>
        </w:drawing>
      </w:r>
    </w:p>
    <w:p w14:paraId="19CA1BA8" w14:textId="77777777" w:rsidR="00570879" w:rsidRPr="00570879" w:rsidRDefault="00570879" w:rsidP="00570879">
      <w:pPr>
        <w:jc w:val="both"/>
        <w:rPr>
          <w:rFonts w:eastAsia="Calibri" w:cs="Times New Roman"/>
          <w:iCs w:val="0"/>
          <w:szCs w:val="22"/>
          <w:lang w:val="es-MX" w:eastAsia="en-US"/>
        </w:rPr>
      </w:pPr>
    </w:p>
    <w:p w14:paraId="7993CA7A" w14:textId="77777777" w:rsidR="00570879" w:rsidRPr="00570879" w:rsidRDefault="00570879" w:rsidP="00570879">
      <w:pPr>
        <w:jc w:val="both"/>
        <w:rPr>
          <w:rFonts w:eastAsia="Calibri" w:cs="Times New Roman"/>
          <w:iCs w:val="0"/>
          <w:szCs w:val="22"/>
          <w:lang w:val="es-MX" w:eastAsia="en-US"/>
        </w:rPr>
      </w:pPr>
    </w:p>
    <w:p w14:paraId="35CBB158"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Bienes muebles</w:t>
      </w:r>
    </w:p>
    <w:p w14:paraId="625F3CBB"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7AA9C1E0" w14:textId="77777777" w:rsidR="00570879" w:rsidRPr="00570879" w:rsidRDefault="00570879" w:rsidP="00570879">
      <w:pPr>
        <w:tabs>
          <w:tab w:val="left" w:pos="1418"/>
        </w:tabs>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Este renglón del activo refleja el valor de los bienes muebles que poseen las Entidades Paraestatales Empresariales No Financieras con Participación Estatal Mayoritaria y que al 31 de diciembre de 2023, asciende a un monto global de 240.2 millones de pesos y representa el 26.9 % respecto al total del activo no circulante, integrándose por: mobiliario y equipo de administración, mobiliario y equipo educacional y recreativo, vehículos y equipo de transporte, maquinaria, otros equipos y herramientas; los cuales son necesarios para cubrir la operatividad de las Entidades Paraestatales Empresariales No Financieras con Participación Estatal Mayoritaria.</w:t>
      </w:r>
    </w:p>
    <w:p w14:paraId="5D7F9673" w14:textId="77777777" w:rsidR="00570879" w:rsidRPr="00570879" w:rsidRDefault="00570879" w:rsidP="00570879">
      <w:pPr>
        <w:tabs>
          <w:tab w:val="left" w:pos="1418"/>
        </w:tabs>
        <w:autoSpaceDE w:val="0"/>
        <w:autoSpaceDN w:val="0"/>
        <w:adjustRightInd w:val="0"/>
        <w:jc w:val="both"/>
        <w:rPr>
          <w:rFonts w:eastAsia="Calibri" w:cs="Times New Roman"/>
          <w:iCs w:val="0"/>
          <w:szCs w:val="22"/>
          <w:lang w:val="es-MX" w:eastAsia="en-US"/>
        </w:rPr>
      </w:pPr>
    </w:p>
    <w:p w14:paraId="02BB9F29" w14:textId="77777777" w:rsidR="00570879" w:rsidRPr="00570879" w:rsidRDefault="00570879" w:rsidP="00570879">
      <w:pPr>
        <w:jc w:val="center"/>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0F810150" wp14:editId="631C01D9">
            <wp:extent cx="4126230" cy="1985010"/>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6230" cy="1985010"/>
                    </a:xfrm>
                    <a:prstGeom prst="rect">
                      <a:avLst/>
                    </a:prstGeom>
                    <a:noFill/>
                    <a:ln>
                      <a:noFill/>
                    </a:ln>
                  </pic:spPr>
                </pic:pic>
              </a:graphicData>
            </a:graphic>
          </wp:inline>
        </w:drawing>
      </w:r>
    </w:p>
    <w:p w14:paraId="72D59227" w14:textId="77777777" w:rsidR="00570879" w:rsidRPr="00570879" w:rsidRDefault="00570879" w:rsidP="00570879">
      <w:pPr>
        <w:jc w:val="both"/>
        <w:rPr>
          <w:rFonts w:eastAsia="Calibri" w:cs="Times New Roman"/>
          <w:iCs w:val="0"/>
          <w:szCs w:val="22"/>
          <w:lang w:val="es-MX" w:eastAsia="en-US"/>
        </w:rPr>
      </w:pPr>
    </w:p>
    <w:p w14:paraId="0654CD19" w14:textId="77777777" w:rsidR="00570879" w:rsidRPr="00570879" w:rsidRDefault="00570879" w:rsidP="00570879">
      <w:pPr>
        <w:jc w:val="both"/>
        <w:rPr>
          <w:rFonts w:eastAsia="Calibri" w:cs="Times New Roman"/>
          <w:iCs w:val="0"/>
          <w:szCs w:val="22"/>
          <w:lang w:val="es-MX" w:eastAsia="en-US"/>
        </w:rPr>
      </w:pPr>
    </w:p>
    <w:p w14:paraId="7E4CE3E9"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Activos intangibles</w:t>
      </w:r>
    </w:p>
    <w:p w14:paraId="66D06BCF"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64C4E24D" w14:textId="77777777" w:rsidR="00570879" w:rsidRPr="00570879" w:rsidRDefault="00570879" w:rsidP="00570879">
      <w:pPr>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 xml:space="preserve">Al 31 de diciembre de 2023, este rubro representa el valor de los bienes intangibles como software, propiedad de la Sociedad Operadora del Aeropuerto Internacional Ángel Albino Corzo, S.A. de C.V. </w:t>
      </w:r>
    </w:p>
    <w:p w14:paraId="702A98B5"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2D3157CF" w14:textId="77777777" w:rsidR="00570879" w:rsidRPr="00570879" w:rsidRDefault="00570879" w:rsidP="00570879">
      <w:pPr>
        <w:jc w:val="both"/>
        <w:rPr>
          <w:rFonts w:eastAsia="Calibri" w:cs="Times New Roman"/>
          <w:iCs w:val="0"/>
          <w:szCs w:val="22"/>
          <w:lang w:val="es-MX" w:eastAsia="en-US"/>
        </w:rPr>
      </w:pPr>
      <w:r w:rsidRPr="00570879">
        <w:rPr>
          <w:rFonts w:eastAsia="Calibri" w:cs="Times New Roman"/>
          <w:iCs w:val="0"/>
          <w:szCs w:val="22"/>
          <w:lang w:val="es-MX" w:eastAsia="en-US"/>
        </w:rPr>
        <w:t>Este rubro refleja el monto de 0.1 millones de pesos.</w:t>
      </w:r>
    </w:p>
    <w:p w14:paraId="59026402"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4BC38953"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277824DF" w14:textId="77777777" w:rsidR="00570879" w:rsidRPr="00570879" w:rsidRDefault="00570879" w:rsidP="00570879">
      <w:pPr>
        <w:tabs>
          <w:tab w:val="left" w:pos="1418"/>
        </w:tabs>
        <w:autoSpaceDE w:val="0"/>
        <w:autoSpaceDN w:val="0"/>
        <w:adjustRightInd w:val="0"/>
        <w:jc w:val="center"/>
        <w:rPr>
          <w:rFonts w:eastAsia="Calibri" w:cs="Times New Roman"/>
          <w:b/>
          <w:i/>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447FCCFB" wp14:editId="75E78947">
            <wp:extent cx="4126230" cy="1010920"/>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6230" cy="1010920"/>
                    </a:xfrm>
                    <a:prstGeom prst="rect">
                      <a:avLst/>
                    </a:prstGeom>
                    <a:noFill/>
                    <a:ln>
                      <a:noFill/>
                    </a:ln>
                  </pic:spPr>
                </pic:pic>
              </a:graphicData>
            </a:graphic>
          </wp:inline>
        </w:drawing>
      </w:r>
    </w:p>
    <w:p w14:paraId="472B522F"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63FCA060"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6DA171C4"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Depreciación, deterioro y amortización acumulada de bienes</w:t>
      </w:r>
    </w:p>
    <w:p w14:paraId="659665CF"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55CCAEE8" w14:textId="77777777" w:rsidR="00570879" w:rsidRPr="00570879" w:rsidRDefault="00570879" w:rsidP="00570879">
      <w:pPr>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Este rubro presenta la cifra negativa de 681.4 millones de pesos, la cual representa una disminución del 76.3 % del activo no circulante; se integra por la depreciación de bienes inmuebles, muebles e infraestructura, así como, la amortización a los activos intangibles de las Entidades Paraestatales y Fideicomisos Empresariales no Financieros con Participación Estatal Mayoritaria, aplicándose las tasas establecidas para tal efecto en la Ley del Impuesto sobre la Renta y el procedimiento establecido por el Consejo Nacional de Armonización Contable (CONAC), aplicados por los entes públicos en el ejercicio 2023.</w:t>
      </w:r>
    </w:p>
    <w:p w14:paraId="285EEC06" w14:textId="77777777" w:rsidR="00570879" w:rsidRPr="00570879" w:rsidRDefault="00570879" w:rsidP="00570879">
      <w:pPr>
        <w:tabs>
          <w:tab w:val="left" w:pos="1418"/>
        </w:tabs>
        <w:autoSpaceDE w:val="0"/>
        <w:autoSpaceDN w:val="0"/>
        <w:adjustRightInd w:val="0"/>
        <w:jc w:val="both"/>
        <w:rPr>
          <w:rFonts w:eastAsia="Calibri" w:cs="Times New Roman"/>
          <w:iCs w:val="0"/>
          <w:szCs w:val="22"/>
          <w:lang w:val="es-MX" w:eastAsia="en-US"/>
        </w:rPr>
      </w:pPr>
    </w:p>
    <w:p w14:paraId="5C9171AD" w14:textId="77777777" w:rsidR="00570879" w:rsidRPr="00570879" w:rsidRDefault="00570879" w:rsidP="00570879">
      <w:pPr>
        <w:autoSpaceDE w:val="0"/>
        <w:autoSpaceDN w:val="0"/>
        <w:adjustRightInd w:val="0"/>
        <w:jc w:val="center"/>
        <w:outlineLvl w:val="0"/>
        <w:rPr>
          <w:rFonts w:eastAsia="Calibri" w:cs="Times New Roman"/>
          <w:b/>
          <w:bCs/>
          <w:i/>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4E8A6FAA" wp14:editId="2FEAA4CD">
            <wp:extent cx="4126230" cy="2245360"/>
            <wp:effectExtent l="0" t="0" r="7620" b="254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6230" cy="2245360"/>
                    </a:xfrm>
                    <a:prstGeom prst="rect">
                      <a:avLst/>
                    </a:prstGeom>
                    <a:noFill/>
                    <a:ln>
                      <a:noFill/>
                    </a:ln>
                  </pic:spPr>
                </pic:pic>
              </a:graphicData>
            </a:graphic>
          </wp:inline>
        </w:drawing>
      </w:r>
    </w:p>
    <w:p w14:paraId="52C2EF56" w14:textId="77777777" w:rsidR="00570879" w:rsidRPr="00570879" w:rsidRDefault="00570879" w:rsidP="00570879">
      <w:pPr>
        <w:numPr>
          <w:ilvl w:val="1"/>
          <w:numId w:val="0"/>
        </w:numPr>
        <w:jc w:val="both"/>
        <w:rPr>
          <w:rFonts w:cs="Times New Roman"/>
          <w:b/>
          <w:i/>
          <w:iCs w:val="0"/>
          <w:szCs w:val="22"/>
          <w:lang w:val="es-MX" w:eastAsia="en-US"/>
        </w:rPr>
      </w:pPr>
    </w:p>
    <w:p w14:paraId="1B6488E4" w14:textId="77777777" w:rsidR="00570879" w:rsidRPr="00570879" w:rsidRDefault="00570879" w:rsidP="00570879">
      <w:pPr>
        <w:numPr>
          <w:ilvl w:val="1"/>
          <w:numId w:val="0"/>
        </w:numPr>
        <w:jc w:val="both"/>
        <w:rPr>
          <w:rFonts w:cs="Times New Roman"/>
          <w:b/>
          <w:i/>
          <w:iCs w:val="0"/>
          <w:szCs w:val="22"/>
          <w:lang w:val="es-MX" w:eastAsia="en-US"/>
        </w:rPr>
      </w:pPr>
    </w:p>
    <w:p w14:paraId="246C78DC" w14:textId="77777777" w:rsidR="00570879" w:rsidRPr="00570879" w:rsidRDefault="00570879" w:rsidP="00570879">
      <w:pPr>
        <w:tabs>
          <w:tab w:val="left" w:pos="1616"/>
        </w:tabs>
        <w:spacing w:after="160" w:line="259" w:lineRule="auto"/>
        <w:rPr>
          <w:rFonts w:cs="Times New Roman"/>
          <w:b/>
          <w:i/>
          <w:iCs w:val="0"/>
          <w:szCs w:val="22"/>
          <w:u w:val="single"/>
          <w:lang w:val="es-MX" w:eastAsia="en-US"/>
        </w:rPr>
      </w:pPr>
      <w:r w:rsidRPr="00570879">
        <w:rPr>
          <w:rFonts w:cs="Times New Roman"/>
          <w:b/>
          <w:i/>
          <w:iCs w:val="0"/>
          <w:szCs w:val="22"/>
          <w:u w:val="single"/>
          <w:lang w:val="es-MX" w:eastAsia="en-US"/>
        </w:rPr>
        <w:t>Activos diferidos</w:t>
      </w:r>
    </w:p>
    <w:p w14:paraId="7065609E" w14:textId="77777777" w:rsidR="00570879" w:rsidRPr="00570879" w:rsidRDefault="00570879" w:rsidP="00570879">
      <w:pPr>
        <w:jc w:val="both"/>
        <w:outlineLvl w:val="0"/>
        <w:rPr>
          <w:rFonts w:eastAsia="Calibri" w:cs="Times New Roman"/>
          <w:b/>
          <w:bCs/>
          <w:iCs w:val="0"/>
          <w:szCs w:val="22"/>
          <w:lang w:val="es-MX" w:eastAsia="en-US"/>
        </w:rPr>
      </w:pPr>
    </w:p>
    <w:p w14:paraId="7C387F49" w14:textId="77777777" w:rsidR="00570879" w:rsidRPr="00570879" w:rsidRDefault="00570879" w:rsidP="00570879">
      <w:pPr>
        <w:jc w:val="both"/>
        <w:rPr>
          <w:rFonts w:eastAsia="Calibri" w:cs="Times New Roman"/>
          <w:iCs w:val="0"/>
          <w:szCs w:val="22"/>
          <w:lang w:val="es-MX" w:eastAsia="en-US"/>
        </w:rPr>
      </w:pPr>
      <w:r w:rsidRPr="00570879">
        <w:rPr>
          <w:rFonts w:eastAsia="Calibri" w:cs="Times New Roman"/>
          <w:iCs w:val="0"/>
          <w:szCs w:val="22"/>
          <w:lang w:val="es-MX" w:eastAsia="en-US"/>
        </w:rPr>
        <w:t>El saldo de este rubro asciende a 13.3 millones de pesos y se integra principalmente por: estudios, formulación y evaluación de proyectos con 8.2 millones de pesos, beneficios de retiro de empleados pagados por adelantado con 4.2 millones de pesos; así como, operaciones transitorias por regularizar con 0.9 millones de pesos, correspondientes a recursos de años anteriores.</w:t>
      </w:r>
    </w:p>
    <w:p w14:paraId="1E781752" w14:textId="77777777" w:rsidR="00570879" w:rsidRPr="00570879" w:rsidRDefault="00570879" w:rsidP="00570879">
      <w:pPr>
        <w:jc w:val="both"/>
        <w:rPr>
          <w:rFonts w:eastAsia="Calibri" w:cs="Times New Roman"/>
          <w:iCs w:val="0"/>
          <w:szCs w:val="22"/>
          <w:lang w:val="es-MX" w:eastAsia="en-US"/>
        </w:rPr>
      </w:pPr>
    </w:p>
    <w:p w14:paraId="00236BC0" w14:textId="77777777" w:rsidR="00570879" w:rsidRPr="00570879" w:rsidRDefault="00570879" w:rsidP="00570879">
      <w:pPr>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A la fecha que se informa este rubro representa el 1.5 % respecto al total del activo no circulante.</w:t>
      </w:r>
    </w:p>
    <w:p w14:paraId="69E958BF"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37FE99D7" w14:textId="77777777" w:rsidR="00570879" w:rsidRPr="00570879" w:rsidRDefault="00570879" w:rsidP="00570879">
      <w:pPr>
        <w:autoSpaceDE w:val="0"/>
        <w:autoSpaceDN w:val="0"/>
        <w:adjustRightInd w:val="0"/>
        <w:jc w:val="center"/>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57C1105B" wp14:editId="249D62A1">
            <wp:extent cx="4126230" cy="1851025"/>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6230" cy="1851025"/>
                    </a:xfrm>
                    <a:prstGeom prst="rect">
                      <a:avLst/>
                    </a:prstGeom>
                    <a:noFill/>
                    <a:ln>
                      <a:noFill/>
                    </a:ln>
                  </pic:spPr>
                </pic:pic>
              </a:graphicData>
            </a:graphic>
          </wp:inline>
        </w:drawing>
      </w:r>
    </w:p>
    <w:p w14:paraId="3D609809" w14:textId="77777777" w:rsidR="00570879" w:rsidRPr="00570879" w:rsidRDefault="00570879" w:rsidP="00570879">
      <w:pPr>
        <w:jc w:val="both"/>
        <w:rPr>
          <w:rFonts w:eastAsia="Calibri" w:cs="Times New Roman"/>
          <w:iCs w:val="0"/>
          <w:szCs w:val="22"/>
          <w:lang w:val="es-MX" w:eastAsia="en-US"/>
        </w:rPr>
      </w:pPr>
    </w:p>
    <w:p w14:paraId="06C9E0FB" w14:textId="77777777" w:rsidR="00570879" w:rsidRPr="00570879" w:rsidRDefault="00570879" w:rsidP="00570879">
      <w:pPr>
        <w:jc w:val="both"/>
        <w:rPr>
          <w:rFonts w:eastAsia="Calibri"/>
          <w:b/>
          <w:bCs/>
          <w:iCs w:val="0"/>
        </w:rPr>
      </w:pPr>
      <w:bookmarkStart w:id="4" w:name="_Hlk125467269"/>
      <w:r w:rsidRPr="00570879">
        <w:rPr>
          <w:rFonts w:eastAsia="Calibri"/>
          <w:b/>
          <w:bCs/>
          <w:iCs w:val="0"/>
        </w:rPr>
        <w:t>Pasivo</w:t>
      </w:r>
    </w:p>
    <w:p w14:paraId="09C8BB87" w14:textId="77777777" w:rsidR="00570879" w:rsidRPr="00570879" w:rsidRDefault="00570879" w:rsidP="00570879">
      <w:pPr>
        <w:autoSpaceDE w:val="0"/>
        <w:autoSpaceDN w:val="0"/>
        <w:adjustRightInd w:val="0"/>
        <w:jc w:val="both"/>
        <w:rPr>
          <w:rFonts w:eastAsia="Calibri"/>
          <w:b/>
          <w:bCs/>
          <w:iCs w:val="0"/>
          <w:lang w:val="es-MX" w:eastAsia="en-US"/>
        </w:rPr>
      </w:pPr>
    </w:p>
    <w:bookmarkEnd w:id="4"/>
    <w:p w14:paraId="74CEE250" w14:textId="77777777" w:rsidR="00570879" w:rsidRPr="00570879" w:rsidRDefault="00570879" w:rsidP="00570879">
      <w:pPr>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Es el conjunto de cuentas que permite el registro de las obligaciones contraídas por los entes públicos, para el desarrollo de sus funciones y la prestación de los servicios públicos. Al 31 de diciembre de 2023,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3FCD00B6" w14:textId="23632E8F" w:rsidR="00570879" w:rsidRDefault="00570879" w:rsidP="00570879">
      <w:pPr>
        <w:autoSpaceDE w:val="0"/>
        <w:autoSpaceDN w:val="0"/>
        <w:adjustRightInd w:val="0"/>
        <w:jc w:val="both"/>
        <w:rPr>
          <w:rFonts w:eastAsia="Calibri"/>
          <w:b/>
          <w:bCs/>
          <w:iCs w:val="0"/>
        </w:rPr>
      </w:pPr>
    </w:p>
    <w:p w14:paraId="2EFDFA32" w14:textId="77777777" w:rsidR="00570879" w:rsidRPr="00570879" w:rsidRDefault="00570879" w:rsidP="00570879">
      <w:pPr>
        <w:autoSpaceDE w:val="0"/>
        <w:autoSpaceDN w:val="0"/>
        <w:adjustRightInd w:val="0"/>
        <w:jc w:val="both"/>
        <w:rPr>
          <w:rFonts w:eastAsia="Calibri"/>
          <w:b/>
          <w:bCs/>
          <w:iCs w:val="0"/>
        </w:rPr>
      </w:pPr>
    </w:p>
    <w:p w14:paraId="36A12474" w14:textId="77777777" w:rsidR="00570879" w:rsidRPr="00570879" w:rsidRDefault="00570879" w:rsidP="00570879">
      <w:pPr>
        <w:jc w:val="both"/>
        <w:rPr>
          <w:rFonts w:eastAsia="Calibri"/>
          <w:b/>
          <w:bCs/>
          <w:iCs w:val="0"/>
        </w:rPr>
      </w:pPr>
      <w:r w:rsidRPr="00570879">
        <w:rPr>
          <w:rFonts w:eastAsia="Calibri"/>
          <w:b/>
          <w:bCs/>
          <w:iCs w:val="0"/>
          <w:noProof/>
          <w:lang w:val="es-MX" w:eastAsia="es-MX"/>
        </w:rPr>
        <mc:AlternateContent>
          <mc:Choice Requires="wps">
            <w:drawing>
              <wp:anchor distT="0" distB="0" distL="114300" distR="114300" simplePos="0" relativeHeight="251659264" behindDoc="0" locked="0" layoutInCell="1" allowOverlap="1" wp14:anchorId="44DD7FB9" wp14:editId="0079AFC2">
                <wp:simplePos x="0" y="0"/>
                <wp:positionH relativeFrom="column">
                  <wp:posOffset>-3247390</wp:posOffset>
                </wp:positionH>
                <wp:positionV relativeFrom="paragraph">
                  <wp:posOffset>167005</wp:posOffset>
                </wp:positionV>
                <wp:extent cx="914400" cy="2286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C6A3D" w14:textId="77777777" w:rsidR="00570879" w:rsidRPr="00A53552" w:rsidRDefault="00570879" w:rsidP="00570879">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D7FB9" id="_x0000_t202" coordsize="21600,21600" o:spt="202" path="m,l,21600r21600,l21600,xe">
                <v:stroke joinstyle="miter"/>
                <v:path gradientshapeok="t" o:connecttype="rect"/>
              </v:shapetype>
              <v:shape id="Cuadro de texto 10"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A3&#10;Ct9egwIAABcFAAAOAAAAAAAAAAAAAAAAAC4CAABkcnMvZTJvRG9jLnhtbFBLAQItABQABgAIAAAA&#10;IQAXFEZH4AAAAAsBAAAPAAAAAAAAAAAAAAAAAN0EAABkcnMvZG93bnJldi54bWxQSwUGAAAAAAQA&#10;BADzAAAA6gUAAAAA&#10;" stroked="f">
                <v:textbox>
                  <w:txbxContent>
                    <w:p w14:paraId="042C6A3D" w14:textId="77777777" w:rsidR="00570879" w:rsidRPr="00A53552" w:rsidRDefault="00570879" w:rsidP="00570879">
                      <w:pPr>
                        <w:rPr>
                          <w:color w:val="FF0000"/>
                          <w:sz w:val="16"/>
                          <w:szCs w:val="16"/>
                        </w:rPr>
                      </w:pPr>
                      <w:r w:rsidRPr="00A53552">
                        <w:rPr>
                          <w:color w:val="FF0000"/>
                          <w:sz w:val="16"/>
                          <w:szCs w:val="16"/>
                        </w:rPr>
                        <w:t>Pendiente gráfica</w:t>
                      </w:r>
                    </w:p>
                  </w:txbxContent>
                </v:textbox>
              </v:shape>
            </w:pict>
          </mc:Fallback>
        </mc:AlternateContent>
      </w:r>
      <w:r w:rsidRPr="00570879">
        <w:rPr>
          <w:rFonts w:eastAsia="Calibri"/>
          <w:b/>
          <w:bCs/>
          <w:iCs w:val="0"/>
        </w:rPr>
        <w:t>Circulante</w:t>
      </w:r>
    </w:p>
    <w:p w14:paraId="5F0043EA" w14:textId="77777777" w:rsidR="00570879" w:rsidRPr="00570879" w:rsidRDefault="00570879" w:rsidP="00570879">
      <w:pPr>
        <w:jc w:val="both"/>
        <w:rPr>
          <w:rFonts w:eastAsia="Calibri" w:cs="Times New Roman"/>
          <w:iCs w:val="0"/>
        </w:rPr>
      </w:pPr>
    </w:p>
    <w:p w14:paraId="0C8D72DC"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Cuentas por pagar a corto plazo</w:t>
      </w:r>
    </w:p>
    <w:p w14:paraId="297C2536"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1AAC4071" w14:textId="77777777" w:rsidR="00570879" w:rsidRPr="00570879" w:rsidRDefault="00570879" w:rsidP="00570879">
      <w:pPr>
        <w:jc w:val="both"/>
        <w:outlineLvl w:val="0"/>
        <w:rPr>
          <w:rFonts w:eastAsia="Calibri" w:cs="Times New Roman"/>
          <w:bCs/>
          <w:szCs w:val="22"/>
          <w:lang w:val="es-MX" w:eastAsia="en-US"/>
        </w:rPr>
      </w:pPr>
      <w:r w:rsidRPr="00570879">
        <w:rPr>
          <w:rFonts w:eastAsia="Calibri" w:cs="Times New Roman"/>
          <w:bCs/>
          <w:iCs w:val="0"/>
          <w:szCs w:val="22"/>
          <w:lang w:val="es-MX" w:eastAsia="en-US"/>
        </w:rPr>
        <w:t>La cifra reflejada en este rubro asciende a 165.0 millones de pesos, y representa el 100 % del pasivo circulante.</w:t>
      </w:r>
    </w:p>
    <w:p w14:paraId="5D30EEE3" w14:textId="77777777" w:rsidR="00570879" w:rsidRPr="00570879" w:rsidRDefault="00570879" w:rsidP="00570879">
      <w:pPr>
        <w:jc w:val="both"/>
        <w:outlineLvl w:val="0"/>
        <w:rPr>
          <w:rFonts w:eastAsia="Calibri" w:cs="Times New Roman"/>
          <w:bCs/>
          <w:szCs w:val="22"/>
          <w:lang w:val="es-MX" w:eastAsia="en-US"/>
        </w:rPr>
      </w:pPr>
    </w:p>
    <w:p w14:paraId="39497160"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bCs/>
          <w:iCs w:val="0"/>
          <w:szCs w:val="22"/>
          <w:lang w:val="es-MX" w:eastAsia="en-US"/>
        </w:rPr>
        <w:t>Este rubro se integra de los siguientes conceptos relevantes:</w:t>
      </w:r>
    </w:p>
    <w:p w14:paraId="518F53D4" w14:textId="77777777" w:rsidR="00570879" w:rsidRPr="00570879" w:rsidRDefault="00570879" w:rsidP="00570879">
      <w:pPr>
        <w:jc w:val="both"/>
        <w:outlineLvl w:val="0"/>
        <w:rPr>
          <w:rFonts w:eastAsia="Calibri" w:cs="Times New Roman"/>
          <w:iCs w:val="0"/>
          <w:szCs w:val="22"/>
          <w:lang w:val="es-MX" w:eastAsia="en-US"/>
        </w:rPr>
      </w:pPr>
    </w:p>
    <w:p w14:paraId="028FD1B3" w14:textId="77777777" w:rsidR="00570879" w:rsidRPr="00570879" w:rsidRDefault="00570879" w:rsidP="00570879">
      <w:pPr>
        <w:numPr>
          <w:ilvl w:val="0"/>
          <w:numId w:val="7"/>
        </w:numPr>
        <w:spacing w:after="120"/>
        <w:ind w:left="357" w:hanging="357"/>
        <w:jc w:val="both"/>
        <w:outlineLvl w:val="0"/>
        <w:rPr>
          <w:iCs w:val="0"/>
          <w:lang w:val="es-MX" w:eastAsia="es-MX"/>
        </w:rPr>
      </w:pPr>
      <w:r w:rsidRPr="00570879">
        <w:rPr>
          <w:iCs w:val="0"/>
          <w:lang w:val="es-MX" w:eastAsia="es-MX"/>
        </w:rPr>
        <w:t>Obligaciones contraídas por las entidades por la adquisición de bienes de consumo e inventariables y, por la contratación de servicios con proveedores necesarios para su operatividad y que se encuentran pendientes de pago, al periodo que se informa.</w:t>
      </w:r>
    </w:p>
    <w:p w14:paraId="626C5FCC" w14:textId="77777777" w:rsidR="00570879" w:rsidRPr="00570879" w:rsidRDefault="00570879" w:rsidP="00570879">
      <w:pPr>
        <w:numPr>
          <w:ilvl w:val="0"/>
          <w:numId w:val="7"/>
        </w:numPr>
        <w:spacing w:after="120"/>
        <w:ind w:left="357" w:hanging="357"/>
        <w:jc w:val="both"/>
        <w:outlineLvl w:val="0"/>
        <w:rPr>
          <w:iCs w:val="0"/>
          <w:lang w:val="es-MX" w:eastAsia="es-MX"/>
        </w:rPr>
      </w:pPr>
      <w:r w:rsidRPr="00570879">
        <w:rPr>
          <w:iCs w:val="0"/>
          <w:lang w:val="es-MX" w:eastAsia="es-MX"/>
        </w:rPr>
        <w:t>Así mismo, por el registro de las retenciones por servicios personales: cuotas IMSS e INFONAVIT, además, por las retenciones y contribuciones a favor de terceros: ISSS, 2 % del Impuesto Sobre Nóminas a prestadores de servicios, IVA y el ISR por arrendamiento y honorarios.</w:t>
      </w:r>
    </w:p>
    <w:p w14:paraId="72A3EF8C" w14:textId="77777777" w:rsidR="00570879" w:rsidRPr="00570879" w:rsidRDefault="00570879" w:rsidP="00570879">
      <w:pPr>
        <w:numPr>
          <w:ilvl w:val="0"/>
          <w:numId w:val="7"/>
        </w:numPr>
        <w:spacing w:after="120"/>
        <w:ind w:left="357" w:hanging="357"/>
        <w:jc w:val="both"/>
        <w:outlineLvl w:val="0"/>
        <w:rPr>
          <w:lang w:eastAsia="es-MX"/>
        </w:rPr>
      </w:pPr>
      <w:r w:rsidRPr="00570879">
        <w:rPr>
          <w:lang w:eastAsia="es-MX"/>
        </w:rPr>
        <w:t>5 al millar por inspección y vigilancia.</w:t>
      </w:r>
    </w:p>
    <w:p w14:paraId="1629C7EC" w14:textId="77777777" w:rsidR="00570879" w:rsidRPr="00570879" w:rsidRDefault="00570879" w:rsidP="00570879">
      <w:pPr>
        <w:numPr>
          <w:ilvl w:val="0"/>
          <w:numId w:val="7"/>
        </w:numPr>
        <w:spacing w:after="120"/>
        <w:ind w:left="357" w:hanging="357"/>
        <w:jc w:val="both"/>
        <w:outlineLvl w:val="0"/>
        <w:rPr>
          <w:lang w:eastAsia="es-MX"/>
        </w:rPr>
      </w:pPr>
      <w:r w:rsidRPr="00570879">
        <w:rPr>
          <w:lang w:eastAsia="es-MX"/>
        </w:rPr>
        <w:t>Recursos recibidos por los socios para futuros aumentos de capital social.</w:t>
      </w:r>
    </w:p>
    <w:p w14:paraId="552E1C46" w14:textId="77777777" w:rsidR="00570879" w:rsidRPr="00570879" w:rsidRDefault="00570879" w:rsidP="00570879">
      <w:pPr>
        <w:jc w:val="both"/>
        <w:outlineLvl w:val="0"/>
        <w:rPr>
          <w:rFonts w:eastAsia="Calibri" w:cs="Times New Roman"/>
          <w:iCs w:val="0"/>
          <w:noProof/>
          <w:szCs w:val="22"/>
          <w:lang w:val="es-MX" w:eastAsia="es-MX"/>
        </w:rPr>
      </w:pPr>
    </w:p>
    <w:p w14:paraId="64FF7B2D" w14:textId="77777777" w:rsidR="00570879" w:rsidRPr="00570879" w:rsidRDefault="00570879" w:rsidP="00570879">
      <w:pPr>
        <w:jc w:val="center"/>
        <w:outlineLvl w:val="0"/>
        <w:rPr>
          <w:rFonts w:eastAsia="Calibri" w:cs="Times New Roman"/>
          <w:iCs w:val="0"/>
          <w:noProof/>
          <w:szCs w:val="22"/>
          <w:lang w:val="es-MX" w:eastAsia="es-MX"/>
        </w:rPr>
      </w:pPr>
      <w:r w:rsidRPr="00570879">
        <w:rPr>
          <w:rFonts w:ascii="Calibri" w:eastAsia="Calibri" w:hAnsi="Calibri" w:cs="Times New Roman"/>
          <w:iCs w:val="0"/>
          <w:noProof/>
          <w:sz w:val="22"/>
          <w:szCs w:val="22"/>
          <w:lang w:val="es-MX" w:eastAsia="es-MX"/>
        </w:rPr>
        <w:drawing>
          <wp:inline distT="0" distB="0" distL="0" distR="0" wp14:anchorId="575846E5" wp14:editId="70A4997B">
            <wp:extent cx="4022090" cy="179133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22090" cy="1791335"/>
                    </a:xfrm>
                    <a:prstGeom prst="rect">
                      <a:avLst/>
                    </a:prstGeom>
                    <a:noFill/>
                    <a:ln>
                      <a:noFill/>
                    </a:ln>
                  </pic:spPr>
                </pic:pic>
              </a:graphicData>
            </a:graphic>
          </wp:inline>
        </w:drawing>
      </w:r>
    </w:p>
    <w:p w14:paraId="38254DB5" w14:textId="77777777" w:rsidR="00570879" w:rsidRPr="00570879" w:rsidRDefault="00570879" w:rsidP="00570879">
      <w:pPr>
        <w:numPr>
          <w:ilvl w:val="1"/>
          <w:numId w:val="0"/>
        </w:numPr>
        <w:jc w:val="both"/>
        <w:rPr>
          <w:rFonts w:cs="Times New Roman"/>
          <w:b/>
          <w:i/>
          <w:iCs w:val="0"/>
          <w:color w:val="B09A5B"/>
          <w:szCs w:val="22"/>
          <w:lang w:val="es-MX" w:eastAsia="en-US"/>
        </w:rPr>
      </w:pPr>
    </w:p>
    <w:p w14:paraId="0A22E2DD" w14:textId="77777777" w:rsidR="00570879" w:rsidRPr="00570879" w:rsidRDefault="00570879" w:rsidP="00570879">
      <w:pPr>
        <w:numPr>
          <w:ilvl w:val="1"/>
          <w:numId w:val="0"/>
        </w:numPr>
        <w:jc w:val="both"/>
        <w:rPr>
          <w:rFonts w:cs="Times New Roman"/>
          <w:b/>
          <w:i/>
          <w:iCs w:val="0"/>
          <w:color w:val="B09A5B"/>
          <w:szCs w:val="22"/>
          <w:lang w:val="es-MX" w:eastAsia="en-US"/>
        </w:rPr>
      </w:pPr>
    </w:p>
    <w:p w14:paraId="2E4EB767" w14:textId="77777777" w:rsidR="00570879" w:rsidRPr="00570879" w:rsidRDefault="00570879" w:rsidP="00570879">
      <w:pPr>
        <w:jc w:val="both"/>
        <w:rPr>
          <w:rFonts w:eastAsia="Calibri"/>
          <w:b/>
          <w:bCs/>
          <w:iCs w:val="0"/>
        </w:rPr>
      </w:pPr>
      <w:r w:rsidRPr="00570879">
        <w:rPr>
          <w:rFonts w:eastAsia="Calibri"/>
          <w:b/>
          <w:bCs/>
          <w:iCs w:val="0"/>
        </w:rPr>
        <w:t>No circulante</w:t>
      </w:r>
    </w:p>
    <w:p w14:paraId="1CDEA384" w14:textId="77777777" w:rsidR="00570879" w:rsidRPr="00570879" w:rsidRDefault="00570879" w:rsidP="00570879">
      <w:pPr>
        <w:autoSpaceDE w:val="0"/>
        <w:autoSpaceDN w:val="0"/>
        <w:adjustRightInd w:val="0"/>
        <w:jc w:val="both"/>
        <w:rPr>
          <w:rFonts w:eastAsia="Calibri"/>
          <w:b/>
          <w:bCs/>
          <w:iCs w:val="0"/>
          <w:lang w:val="es-MX" w:eastAsia="en-US"/>
        </w:rPr>
      </w:pPr>
    </w:p>
    <w:p w14:paraId="2433C22A" w14:textId="63C676DC" w:rsidR="00570879" w:rsidRPr="00570879" w:rsidRDefault="00570879" w:rsidP="00570879">
      <w:pPr>
        <w:autoSpaceDE w:val="0"/>
        <w:autoSpaceDN w:val="0"/>
        <w:adjustRightInd w:val="0"/>
        <w:jc w:val="center"/>
        <w:rPr>
          <w:rFonts w:eastAsia="Calibri" w:cs="Times New Roman"/>
          <w:b/>
          <w:bCs/>
          <w:iCs w:val="0"/>
          <w:noProof/>
          <w:szCs w:val="22"/>
          <w:lang w:val="es-MX" w:eastAsia="es-MX"/>
        </w:rPr>
      </w:pPr>
      <w:r>
        <w:rPr>
          <w:rFonts w:eastAsia="Calibri" w:cs="Times New Roman"/>
          <w:b/>
          <w:bCs/>
          <w:iCs w:val="0"/>
          <w:noProof/>
          <w:szCs w:val="22"/>
          <w:lang w:val="es-MX" w:eastAsia="es-MX"/>
        </w:rPr>
        <w:drawing>
          <wp:inline distT="0" distB="0" distL="0" distR="0" wp14:anchorId="5B47897E" wp14:editId="70B7FDBC">
            <wp:extent cx="3676650" cy="2133611"/>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3519" cy="2137597"/>
                    </a:xfrm>
                    <a:prstGeom prst="rect">
                      <a:avLst/>
                    </a:prstGeom>
                    <a:noFill/>
                  </pic:spPr>
                </pic:pic>
              </a:graphicData>
            </a:graphic>
          </wp:inline>
        </w:drawing>
      </w:r>
    </w:p>
    <w:p w14:paraId="5BD97267"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Cuentas por pagar a largo plazo</w:t>
      </w:r>
    </w:p>
    <w:p w14:paraId="4006C7DD"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5F2E3915"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Este rubro del pasivo, el registro de los compromisos contraídos a largo plazo, por la adquisición de bienes de consumo inventaríales y por la contratación de servicios con proveedores.</w:t>
      </w:r>
    </w:p>
    <w:p w14:paraId="0B50C5A1" w14:textId="77777777" w:rsidR="00570879" w:rsidRPr="00570879" w:rsidRDefault="00570879" w:rsidP="00570879">
      <w:pPr>
        <w:jc w:val="both"/>
        <w:outlineLvl w:val="0"/>
        <w:rPr>
          <w:rFonts w:eastAsia="Calibri" w:cs="Times New Roman"/>
          <w:iCs w:val="0"/>
          <w:szCs w:val="22"/>
          <w:lang w:val="es-MX" w:eastAsia="en-US"/>
        </w:rPr>
      </w:pPr>
    </w:p>
    <w:p w14:paraId="34BA73A7"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Al 31 de diciembre de 2023, este rubro asciende a 6.7</w:t>
      </w:r>
      <w:r w:rsidRPr="00570879">
        <w:rPr>
          <w:rFonts w:eastAsia="Calibri" w:cs="Times New Roman"/>
          <w:bCs/>
          <w:iCs w:val="0"/>
          <w:szCs w:val="22"/>
          <w:lang w:val="es-MX" w:eastAsia="en-US"/>
        </w:rPr>
        <w:t xml:space="preserve"> millones de pesos y representa el 3.8 % del pasivo no circulante.</w:t>
      </w:r>
    </w:p>
    <w:p w14:paraId="6FF3900D" w14:textId="77777777" w:rsidR="00570879" w:rsidRPr="00570879" w:rsidRDefault="00570879" w:rsidP="00570879">
      <w:pPr>
        <w:jc w:val="both"/>
        <w:outlineLvl w:val="0"/>
        <w:rPr>
          <w:rFonts w:eastAsia="Calibri" w:cs="Times New Roman"/>
          <w:iCs w:val="0"/>
          <w:szCs w:val="22"/>
          <w:lang w:val="es-MX" w:eastAsia="en-US"/>
        </w:rPr>
      </w:pPr>
    </w:p>
    <w:p w14:paraId="6DEA4060" w14:textId="77777777" w:rsidR="00570879" w:rsidRPr="00570879" w:rsidRDefault="00570879" w:rsidP="00570879">
      <w:pPr>
        <w:jc w:val="center"/>
        <w:outlineLvl w:val="0"/>
        <w:rPr>
          <w:rFonts w:eastAsia="Calibri" w:cs="Times New Roman"/>
          <w:bCs/>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1E6C8331" wp14:editId="43F1BB3A">
            <wp:extent cx="4022090" cy="114490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22090" cy="1144905"/>
                    </a:xfrm>
                    <a:prstGeom prst="rect">
                      <a:avLst/>
                    </a:prstGeom>
                    <a:noFill/>
                    <a:ln>
                      <a:noFill/>
                    </a:ln>
                  </pic:spPr>
                </pic:pic>
              </a:graphicData>
            </a:graphic>
          </wp:inline>
        </w:drawing>
      </w:r>
    </w:p>
    <w:p w14:paraId="4EB4943E"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00A7E1A0"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43875519"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Documentos por pagar a largo plazo</w:t>
      </w:r>
    </w:p>
    <w:p w14:paraId="39D86CBC"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3ED046A2"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 xml:space="preserve">Este rubro al 31 de diciembre de 2023 asciende a 125.7 </w:t>
      </w:r>
      <w:r w:rsidRPr="00570879">
        <w:rPr>
          <w:rFonts w:eastAsia="Calibri" w:cs="Times New Roman"/>
          <w:bCs/>
          <w:iCs w:val="0"/>
          <w:szCs w:val="22"/>
          <w:lang w:val="es-MX" w:eastAsia="en-US"/>
        </w:rPr>
        <w:t>millones de pesos y representa el 71.3 % del pasivo no circulante, y representa los adeudos con un vencimiento mayor a doce meses, cuyo origen proviene del pasivo a favor del socio Gobierno del estado de Chiapas por la aportación de los terrenos que actualmente ocupa el Aeropuerto Internacional de Palenque, Chiapas, el cual se encuentra pendiente de reembolsar.</w:t>
      </w:r>
    </w:p>
    <w:p w14:paraId="573282A0" w14:textId="77777777" w:rsidR="00570879" w:rsidRPr="00570879" w:rsidRDefault="00570879" w:rsidP="00570879">
      <w:pPr>
        <w:jc w:val="both"/>
        <w:outlineLvl w:val="0"/>
        <w:rPr>
          <w:rFonts w:eastAsia="Calibri" w:cs="Times New Roman"/>
          <w:iCs w:val="0"/>
          <w:szCs w:val="22"/>
          <w:lang w:val="es-MX" w:eastAsia="en-US"/>
        </w:rPr>
      </w:pPr>
    </w:p>
    <w:p w14:paraId="47CA22CB" w14:textId="77777777" w:rsidR="00570879" w:rsidRPr="00570879" w:rsidRDefault="00570879" w:rsidP="00570879">
      <w:pPr>
        <w:jc w:val="center"/>
        <w:outlineLvl w:val="0"/>
        <w:rPr>
          <w:rFonts w:eastAsia="Calibri" w:cs="Times New Roman"/>
          <w:bCs/>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2BA88467" wp14:editId="7AEC1F35">
            <wp:extent cx="4022090" cy="114490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22090" cy="1144905"/>
                    </a:xfrm>
                    <a:prstGeom prst="rect">
                      <a:avLst/>
                    </a:prstGeom>
                    <a:noFill/>
                    <a:ln>
                      <a:noFill/>
                    </a:ln>
                  </pic:spPr>
                </pic:pic>
              </a:graphicData>
            </a:graphic>
          </wp:inline>
        </w:drawing>
      </w:r>
    </w:p>
    <w:p w14:paraId="30A5AA73"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5E88DC69"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437C91CB"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Pasivos diferidos a largo plazo</w:t>
      </w:r>
    </w:p>
    <w:p w14:paraId="1CF1F6EF"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099AEEAB"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Al 31 de diciembre de 2023 este rubro asciende a 33.8 millones de pesos y representa el 19.2 % del pasivo no circulante, está integrado los compromisos contraídos a largo plazo, derivado de servicios de maquila correspondiente a Talleres Gráficos.</w:t>
      </w:r>
    </w:p>
    <w:p w14:paraId="17C2C04F" w14:textId="77777777" w:rsidR="00570879" w:rsidRPr="00570879" w:rsidRDefault="00570879" w:rsidP="00570879">
      <w:pPr>
        <w:jc w:val="both"/>
        <w:outlineLvl w:val="0"/>
        <w:rPr>
          <w:rFonts w:eastAsia="Calibri" w:cs="Times New Roman"/>
          <w:iCs w:val="0"/>
          <w:szCs w:val="22"/>
          <w:lang w:val="es-MX" w:eastAsia="en-US"/>
        </w:rPr>
      </w:pPr>
    </w:p>
    <w:p w14:paraId="2558544B" w14:textId="77777777" w:rsidR="00570879" w:rsidRPr="00570879" w:rsidRDefault="00570879" w:rsidP="00570879">
      <w:pPr>
        <w:jc w:val="center"/>
        <w:outlineLvl w:val="0"/>
        <w:rPr>
          <w:rFonts w:eastAsia="Calibri" w:cs="Times New Roman"/>
          <w:bCs/>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4F763282" wp14:editId="047C819E">
            <wp:extent cx="4022090" cy="114490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2090" cy="1144905"/>
                    </a:xfrm>
                    <a:prstGeom prst="rect">
                      <a:avLst/>
                    </a:prstGeom>
                    <a:noFill/>
                    <a:ln>
                      <a:noFill/>
                    </a:ln>
                  </pic:spPr>
                </pic:pic>
              </a:graphicData>
            </a:graphic>
          </wp:inline>
        </w:drawing>
      </w:r>
    </w:p>
    <w:p w14:paraId="48A6808F" w14:textId="77777777" w:rsidR="00570879" w:rsidRPr="00570879" w:rsidRDefault="00570879" w:rsidP="00570879">
      <w:pPr>
        <w:jc w:val="both"/>
        <w:outlineLvl w:val="0"/>
        <w:rPr>
          <w:rFonts w:eastAsia="Calibri" w:cs="Times New Roman"/>
          <w:bCs/>
          <w:szCs w:val="22"/>
          <w:lang w:val="es-MX" w:eastAsia="en-US"/>
        </w:rPr>
      </w:pPr>
    </w:p>
    <w:p w14:paraId="369EDA72" w14:textId="77777777" w:rsidR="00570879" w:rsidRPr="00570879" w:rsidRDefault="00570879" w:rsidP="00570879">
      <w:pPr>
        <w:numPr>
          <w:ilvl w:val="1"/>
          <w:numId w:val="0"/>
        </w:numPr>
        <w:jc w:val="both"/>
        <w:rPr>
          <w:rFonts w:cs="Times New Roman"/>
          <w:b/>
          <w:i/>
          <w:iCs w:val="0"/>
          <w:szCs w:val="22"/>
          <w:lang w:val="es-MX" w:eastAsia="en-US"/>
        </w:rPr>
      </w:pPr>
    </w:p>
    <w:p w14:paraId="072F21DB" w14:textId="77777777" w:rsidR="00570879" w:rsidRPr="00570879" w:rsidRDefault="00570879" w:rsidP="00570879">
      <w:pPr>
        <w:numPr>
          <w:ilvl w:val="1"/>
          <w:numId w:val="0"/>
        </w:numPr>
        <w:jc w:val="both"/>
        <w:rPr>
          <w:rFonts w:cs="Times New Roman"/>
          <w:b/>
          <w:i/>
          <w:iCs w:val="0"/>
          <w:szCs w:val="22"/>
          <w:u w:val="single"/>
          <w:lang w:val="es-MX" w:eastAsia="en-US"/>
        </w:rPr>
      </w:pPr>
      <w:r w:rsidRPr="00570879">
        <w:rPr>
          <w:rFonts w:cs="Times New Roman"/>
          <w:b/>
          <w:i/>
          <w:iCs w:val="0"/>
          <w:szCs w:val="22"/>
          <w:u w:val="single"/>
          <w:lang w:val="es-MX" w:eastAsia="en-US"/>
        </w:rPr>
        <w:t>Fondos y bienes de terceros en garantía y/o administración a largo plazo</w:t>
      </w:r>
    </w:p>
    <w:p w14:paraId="36328B40" w14:textId="77777777" w:rsidR="00570879" w:rsidRPr="00570879" w:rsidRDefault="00570879" w:rsidP="00570879">
      <w:pPr>
        <w:tabs>
          <w:tab w:val="left" w:pos="1418"/>
        </w:tabs>
        <w:autoSpaceDE w:val="0"/>
        <w:autoSpaceDN w:val="0"/>
        <w:adjustRightInd w:val="0"/>
        <w:jc w:val="both"/>
        <w:rPr>
          <w:rFonts w:eastAsia="Calibri" w:cs="Times New Roman"/>
          <w:b/>
          <w:i/>
          <w:iCs w:val="0"/>
          <w:szCs w:val="22"/>
          <w:lang w:val="es-MX" w:eastAsia="en-US"/>
        </w:rPr>
      </w:pPr>
    </w:p>
    <w:p w14:paraId="4C14F509"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 xml:space="preserve">A 10.0 millones de pesos asciende este rubro al 31 de diciembre del ejercicio 2023 y corresponde a los fondos de las Entidades Paraestatales Empresariales No Financieras con Participación Estatal Mayoritaria, recibidos para su administración, los cuales representan a los depósitos en garantía recibidos por el arrendamiento de locales comerciales, así como, los anticipos de clientes por los servicios aeroportuarios y comerciales que se otorgan en los aeropuertos de Palenque e Internacional Ángel Albino Corzo y en la zona </w:t>
      </w:r>
      <w:proofErr w:type="spellStart"/>
      <w:r w:rsidRPr="00570879">
        <w:rPr>
          <w:rFonts w:eastAsia="Calibri" w:cs="Times New Roman"/>
          <w:iCs w:val="0"/>
          <w:szCs w:val="22"/>
          <w:lang w:val="es-MX" w:eastAsia="en-US"/>
        </w:rPr>
        <w:t>Food</w:t>
      </w:r>
      <w:proofErr w:type="spellEnd"/>
      <w:r w:rsidRPr="00570879">
        <w:rPr>
          <w:rFonts w:eastAsia="Calibri" w:cs="Times New Roman"/>
          <w:iCs w:val="0"/>
          <w:szCs w:val="22"/>
          <w:lang w:val="es-MX" w:eastAsia="en-US"/>
        </w:rPr>
        <w:t xml:space="preserve"> </w:t>
      </w:r>
      <w:proofErr w:type="spellStart"/>
      <w:r w:rsidRPr="00570879">
        <w:rPr>
          <w:rFonts w:eastAsia="Calibri" w:cs="Times New Roman"/>
          <w:iCs w:val="0"/>
          <w:szCs w:val="22"/>
          <w:lang w:val="es-MX" w:eastAsia="en-US"/>
        </w:rPr>
        <w:t>Court</w:t>
      </w:r>
      <w:proofErr w:type="spellEnd"/>
      <w:r w:rsidRPr="00570879">
        <w:rPr>
          <w:rFonts w:eastAsia="Calibri" w:cs="Times New Roman"/>
          <w:iCs w:val="0"/>
          <w:szCs w:val="22"/>
          <w:lang w:val="es-MX" w:eastAsia="en-US"/>
        </w:rPr>
        <w:t xml:space="preserve"> (patio de comidas) ubicado en la planta baja del edificio anexo de la Torre Chiapas. Este rubro representa el 5.7 % del pasivo no circulante.</w:t>
      </w:r>
    </w:p>
    <w:p w14:paraId="5B092B7E" w14:textId="77777777" w:rsidR="00570879" w:rsidRPr="00570879" w:rsidRDefault="00570879" w:rsidP="00570879">
      <w:pPr>
        <w:tabs>
          <w:tab w:val="left" w:pos="1418"/>
        </w:tabs>
        <w:autoSpaceDE w:val="0"/>
        <w:autoSpaceDN w:val="0"/>
        <w:adjustRightInd w:val="0"/>
        <w:jc w:val="both"/>
        <w:rPr>
          <w:rFonts w:eastAsia="Calibri" w:cs="Times New Roman"/>
          <w:iCs w:val="0"/>
          <w:szCs w:val="22"/>
          <w:lang w:val="es-MX" w:eastAsia="en-US"/>
        </w:rPr>
      </w:pPr>
    </w:p>
    <w:p w14:paraId="09D656B8" w14:textId="77777777" w:rsidR="00570879" w:rsidRPr="00570879" w:rsidRDefault="00570879" w:rsidP="00570879">
      <w:pPr>
        <w:jc w:val="center"/>
        <w:outlineLvl w:val="0"/>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37853C74" wp14:editId="0D6CEE82">
            <wp:extent cx="4022090" cy="1955165"/>
            <wp:effectExtent l="0" t="0" r="0" b="698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22090" cy="1955165"/>
                    </a:xfrm>
                    <a:prstGeom prst="rect">
                      <a:avLst/>
                    </a:prstGeom>
                    <a:noFill/>
                    <a:ln>
                      <a:noFill/>
                    </a:ln>
                  </pic:spPr>
                </pic:pic>
              </a:graphicData>
            </a:graphic>
          </wp:inline>
        </w:drawing>
      </w:r>
    </w:p>
    <w:p w14:paraId="7EC9916E" w14:textId="77777777" w:rsidR="00570879" w:rsidRPr="00570879" w:rsidRDefault="00570879" w:rsidP="00570879">
      <w:pPr>
        <w:jc w:val="both"/>
        <w:outlineLvl w:val="0"/>
        <w:rPr>
          <w:rFonts w:eastAsia="Calibri" w:cs="Times New Roman"/>
          <w:iCs w:val="0"/>
          <w:szCs w:val="22"/>
          <w:lang w:val="es-MX" w:eastAsia="en-US"/>
        </w:rPr>
      </w:pPr>
    </w:p>
    <w:p w14:paraId="15DD18D5" w14:textId="77777777" w:rsidR="00570879" w:rsidRPr="00570879" w:rsidRDefault="00570879" w:rsidP="00570879">
      <w:pPr>
        <w:jc w:val="both"/>
        <w:outlineLvl w:val="0"/>
        <w:rPr>
          <w:rFonts w:eastAsia="Calibri" w:cs="Times New Roman"/>
          <w:iCs w:val="0"/>
          <w:szCs w:val="22"/>
          <w:lang w:val="es-MX" w:eastAsia="en-US"/>
        </w:rPr>
      </w:pPr>
    </w:p>
    <w:p w14:paraId="5E0E5E32" w14:textId="77777777" w:rsidR="00570879" w:rsidRPr="00570879" w:rsidRDefault="00570879" w:rsidP="00570879">
      <w:pPr>
        <w:jc w:val="both"/>
        <w:rPr>
          <w:rFonts w:eastAsia="Calibri"/>
          <w:b/>
          <w:bCs/>
          <w:iCs w:val="0"/>
          <w:caps/>
        </w:rPr>
      </w:pPr>
      <w:r w:rsidRPr="00570879">
        <w:rPr>
          <w:rFonts w:eastAsia="Calibri"/>
          <w:b/>
          <w:bCs/>
          <w:iCs w:val="0"/>
        </w:rPr>
        <w:t xml:space="preserve">Notas al estado de variación en la hacienda pública </w:t>
      </w:r>
    </w:p>
    <w:p w14:paraId="6840948E" w14:textId="77777777" w:rsidR="00570879" w:rsidRPr="00570879" w:rsidRDefault="00570879" w:rsidP="00570879">
      <w:pPr>
        <w:jc w:val="both"/>
        <w:outlineLvl w:val="0"/>
        <w:rPr>
          <w:rFonts w:eastAsia="Calibri" w:cs="Times New Roman"/>
          <w:iCs w:val="0"/>
          <w:szCs w:val="22"/>
          <w:lang w:val="es-MX" w:eastAsia="en-US"/>
        </w:rPr>
      </w:pPr>
    </w:p>
    <w:p w14:paraId="108FF71C"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La hacienda pública representa el importe de los bienes y derechos que son propiedad de las Entidades Paraestatales Empresariales No Financieras con Participación Estatal Mayoritaria, dicho importe es modificado principalmente por el resultado negativo obtenido al periodo que se informa fue de 190.1 millones de pesos y representa el registro de operaciones de ejercicios anteriores por registro de baja de bienes por inservibles, por considerarse obsoletos de acuerdo a la normatividad contable vigente; a la fecha, la hacienda pública refleja un saldo de 1 mil 71.1 millones de pesos.</w:t>
      </w:r>
    </w:p>
    <w:p w14:paraId="7E07B9BF" w14:textId="77777777" w:rsidR="00570879" w:rsidRPr="00570879" w:rsidRDefault="00570879" w:rsidP="00570879">
      <w:pPr>
        <w:jc w:val="both"/>
        <w:outlineLvl w:val="0"/>
        <w:rPr>
          <w:rFonts w:eastAsia="Calibri" w:cs="Times New Roman"/>
          <w:iCs w:val="0"/>
          <w:szCs w:val="22"/>
          <w:lang w:val="es-MX" w:eastAsia="en-US"/>
        </w:rPr>
      </w:pPr>
    </w:p>
    <w:p w14:paraId="096DC6A8"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Así también, es modificado por el aumento o disminución al patrimonio, derivado del registro de los incrementos o decrementos realizados al patrimonio de las Entidades Paraestatales Empresariales No Financieras con Participación Estatal Mayoritaria. A la fecha que se informa la modificación neta negativa al patrimonio es de 187.0 millones de pesos.</w:t>
      </w:r>
    </w:p>
    <w:p w14:paraId="536ACEA8" w14:textId="77777777" w:rsidR="00570879" w:rsidRPr="00570879" w:rsidRDefault="00570879" w:rsidP="00570879">
      <w:pPr>
        <w:jc w:val="both"/>
        <w:outlineLvl w:val="0"/>
        <w:rPr>
          <w:rFonts w:eastAsia="Calibri" w:cs="Times New Roman"/>
          <w:iCs w:val="0"/>
          <w:szCs w:val="22"/>
          <w:lang w:val="es-MX" w:eastAsia="en-US"/>
        </w:rPr>
      </w:pPr>
    </w:p>
    <w:p w14:paraId="4386E2A4" w14:textId="77777777" w:rsidR="00570879" w:rsidRPr="00570879" w:rsidRDefault="00570879" w:rsidP="00570879">
      <w:pPr>
        <w:jc w:val="both"/>
        <w:rPr>
          <w:rFonts w:eastAsia="Calibri"/>
          <w:b/>
          <w:bCs/>
          <w:iCs w:val="0"/>
        </w:rPr>
      </w:pPr>
      <w:r w:rsidRPr="00570879">
        <w:rPr>
          <w:rFonts w:eastAsia="Calibri"/>
          <w:b/>
          <w:bCs/>
          <w:iCs w:val="0"/>
        </w:rPr>
        <w:t>Notas al estado de flujos de efectivo</w:t>
      </w:r>
    </w:p>
    <w:p w14:paraId="28B17EBA" w14:textId="77777777" w:rsidR="00570879" w:rsidRPr="00570879" w:rsidRDefault="00570879" w:rsidP="00570879">
      <w:pPr>
        <w:numPr>
          <w:ilvl w:val="1"/>
          <w:numId w:val="0"/>
        </w:numPr>
        <w:jc w:val="both"/>
        <w:rPr>
          <w:rFonts w:cs="Times New Roman"/>
          <w:b/>
          <w:iCs w:val="0"/>
          <w:color w:val="B09A5B"/>
          <w:szCs w:val="22"/>
          <w:lang w:val="es-MX" w:eastAsia="en-US"/>
        </w:rPr>
      </w:pPr>
    </w:p>
    <w:p w14:paraId="3C57748C" w14:textId="77777777" w:rsidR="00570879" w:rsidRPr="00570879" w:rsidRDefault="00570879" w:rsidP="00570879">
      <w:pPr>
        <w:tabs>
          <w:tab w:val="left" w:pos="6840"/>
        </w:tabs>
        <w:jc w:val="both"/>
        <w:outlineLvl w:val="0"/>
        <w:rPr>
          <w:rFonts w:eastAsia="Calibri" w:cs="Times New Roman"/>
          <w:iCs w:val="0"/>
          <w:szCs w:val="22"/>
          <w:lang w:val="es-MX" w:eastAsia="en-US"/>
        </w:rPr>
      </w:pPr>
      <w:r w:rsidRPr="00570879">
        <w:rPr>
          <w:rFonts w:eastAsia="Calibri" w:cs="Times New Roman"/>
          <w:iCs w:val="0"/>
          <w:szCs w:val="22"/>
          <w:lang w:val="es-MX" w:eastAsia="en-US"/>
        </w:rPr>
        <w:t>El Estado de Flujos de Efectivo de las Entidades Paraestatales Empresariales No Financieras con Participación Estatal Mayoritaria, muestra los flujos de efectivo, conformado por los elementos básicos: origen y aplicación de los recursos.</w:t>
      </w:r>
    </w:p>
    <w:p w14:paraId="021EE393" w14:textId="77777777" w:rsidR="00570879" w:rsidRPr="00570879" w:rsidRDefault="00570879" w:rsidP="00570879">
      <w:pPr>
        <w:tabs>
          <w:tab w:val="left" w:pos="6840"/>
        </w:tabs>
        <w:jc w:val="both"/>
        <w:outlineLvl w:val="0"/>
        <w:rPr>
          <w:rFonts w:eastAsia="Calibri" w:cs="Times New Roman"/>
          <w:iCs w:val="0"/>
          <w:szCs w:val="22"/>
          <w:lang w:val="es-MX" w:eastAsia="en-US"/>
        </w:rPr>
      </w:pPr>
    </w:p>
    <w:p w14:paraId="760D212B" w14:textId="77777777" w:rsidR="00570879" w:rsidRPr="00570879" w:rsidRDefault="00570879" w:rsidP="00570879">
      <w:pPr>
        <w:tabs>
          <w:tab w:val="left" w:pos="6840"/>
        </w:tabs>
        <w:jc w:val="both"/>
        <w:outlineLvl w:val="0"/>
        <w:rPr>
          <w:rFonts w:eastAsia="Calibri" w:cs="Times New Roman"/>
          <w:iCs w:val="0"/>
          <w:szCs w:val="22"/>
          <w:lang w:val="es-MX" w:eastAsia="en-US"/>
        </w:rPr>
      </w:pPr>
      <w:r w:rsidRPr="00570879">
        <w:rPr>
          <w:rFonts w:eastAsia="Calibri" w:cs="Times New Roman"/>
          <w:iCs w:val="0"/>
          <w:szCs w:val="22"/>
          <w:lang w:val="es-MX" w:eastAsia="en-US"/>
        </w:rPr>
        <w:t>La disminución neta en el efectivo y equivalentes al efectivo al 31 de diciembre de 2023 asciende a 15.0 millones de pesos.</w:t>
      </w:r>
    </w:p>
    <w:p w14:paraId="70BE5340" w14:textId="77777777" w:rsidR="00570879" w:rsidRPr="00570879" w:rsidRDefault="00570879" w:rsidP="00570879">
      <w:pPr>
        <w:jc w:val="both"/>
        <w:outlineLvl w:val="0"/>
        <w:rPr>
          <w:rFonts w:eastAsia="Calibri" w:cs="Times New Roman"/>
          <w:b/>
          <w:bCs/>
          <w:iCs w:val="0"/>
          <w:szCs w:val="22"/>
          <w:lang w:val="es-MX" w:eastAsia="en-US"/>
        </w:rPr>
      </w:pPr>
    </w:p>
    <w:p w14:paraId="508CACEB" w14:textId="77777777" w:rsidR="00570879" w:rsidRPr="00570879" w:rsidRDefault="00570879" w:rsidP="00570879">
      <w:pPr>
        <w:jc w:val="both"/>
        <w:rPr>
          <w:rFonts w:eastAsia="Calibri"/>
          <w:b/>
          <w:bCs/>
          <w:iCs w:val="0"/>
        </w:rPr>
      </w:pPr>
      <w:r w:rsidRPr="00570879">
        <w:rPr>
          <w:rFonts w:eastAsia="Calibri"/>
          <w:b/>
          <w:bCs/>
          <w:iCs w:val="0"/>
        </w:rPr>
        <w:t>Flujo de efectivo de las actividades de operación</w:t>
      </w:r>
    </w:p>
    <w:p w14:paraId="3FD29826" w14:textId="77777777" w:rsidR="00570879" w:rsidRPr="00570879" w:rsidRDefault="00570879" w:rsidP="00570879">
      <w:pPr>
        <w:jc w:val="both"/>
        <w:outlineLvl w:val="0"/>
        <w:rPr>
          <w:rFonts w:eastAsia="Calibri" w:cs="Times New Roman"/>
          <w:b/>
          <w:bCs/>
          <w:iCs w:val="0"/>
          <w:szCs w:val="22"/>
          <w:lang w:val="es-MX" w:eastAsia="en-US"/>
        </w:rPr>
      </w:pPr>
    </w:p>
    <w:p w14:paraId="0D23CF69" w14:textId="77777777" w:rsidR="00570879" w:rsidRPr="00570879" w:rsidRDefault="00570879" w:rsidP="00570879">
      <w:pPr>
        <w:jc w:val="both"/>
        <w:outlineLvl w:val="0"/>
        <w:rPr>
          <w:rFonts w:eastAsia="Calibri" w:cs="Times New Roman"/>
          <w:bCs/>
          <w:iCs w:val="0"/>
          <w:szCs w:val="22"/>
          <w:lang w:val="es-MX" w:eastAsia="en-US"/>
        </w:rPr>
      </w:pPr>
      <w:r w:rsidRPr="00570879">
        <w:rPr>
          <w:rFonts w:eastAsia="Calibri" w:cs="Times New Roman"/>
          <w:bCs/>
          <w:iCs w:val="0"/>
          <w:szCs w:val="22"/>
          <w:lang w:val="es-MX" w:eastAsia="en-US"/>
        </w:rPr>
        <w:t xml:space="preserve">Durante el periodo que se informa, las Entidades Paraestatales Empresariales </w:t>
      </w:r>
      <w:r w:rsidRPr="00570879">
        <w:rPr>
          <w:rFonts w:eastAsia="Calibri" w:cs="Times New Roman"/>
          <w:iCs w:val="0"/>
          <w:szCs w:val="22"/>
          <w:lang w:val="es-MX" w:eastAsia="en-US"/>
        </w:rPr>
        <w:t xml:space="preserve">No Financieras </w:t>
      </w:r>
      <w:r w:rsidRPr="00570879">
        <w:rPr>
          <w:rFonts w:eastAsia="Calibri" w:cs="Times New Roman"/>
          <w:bCs/>
          <w:iCs w:val="0"/>
          <w:szCs w:val="22"/>
          <w:lang w:val="es-MX" w:eastAsia="en-US"/>
        </w:rPr>
        <w:t>con Participación Estatal Mayoritaria recibieron ingresos de gestión por la cantidad de 606.1 millones de pesos. El gasto de funcionamiento devengado por el periodo comprendido del 1 de enero al 31 de diciembre de 2023 asciende a 796.2 millones de pesos, el cual refleja un flujo neto negativo por actividades de operación por un importe de 190.1 millones de pesos.</w:t>
      </w:r>
    </w:p>
    <w:p w14:paraId="31D8AE4F" w14:textId="77777777" w:rsidR="00570879" w:rsidRPr="00570879" w:rsidRDefault="00570879" w:rsidP="00570879">
      <w:pPr>
        <w:jc w:val="both"/>
        <w:outlineLvl w:val="0"/>
        <w:rPr>
          <w:rFonts w:eastAsia="Calibri" w:cs="Times New Roman"/>
          <w:bCs/>
          <w:iCs w:val="0"/>
          <w:szCs w:val="22"/>
          <w:lang w:val="es-MX" w:eastAsia="en-US"/>
        </w:rPr>
      </w:pPr>
    </w:p>
    <w:p w14:paraId="60A3EB42" w14:textId="77777777" w:rsidR="00570879" w:rsidRPr="00570879" w:rsidRDefault="00570879" w:rsidP="00570879">
      <w:pPr>
        <w:jc w:val="both"/>
        <w:rPr>
          <w:rFonts w:eastAsia="Calibri"/>
          <w:b/>
          <w:bCs/>
          <w:iCs w:val="0"/>
        </w:rPr>
      </w:pPr>
      <w:r w:rsidRPr="00570879">
        <w:rPr>
          <w:rFonts w:eastAsia="Calibri"/>
          <w:b/>
          <w:bCs/>
          <w:iCs w:val="0"/>
        </w:rPr>
        <w:t>Flujo de efectivo de las actividades de inversión</w:t>
      </w:r>
    </w:p>
    <w:p w14:paraId="0B8525A9" w14:textId="77777777" w:rsidR="00570879" w:rsidRPr="00570879" w:rsidRDefault="00570879" w:rsidP="00570879">
      <w:pPr>
        <w:jc w:val="both"/>
        <w:outlineLvl w:val="0"/>
        <w:rPr>
          <w:rFonts w:eastAsia="Calibri" w:cs="Times New Roman"/>
          <w:b/>
          <w:bCs/>
          <w:iCs w:val="0"/>
          <w:szCs w:val="22"/>
          <w:lang w:val="es-MX" w:eastAsia="en-US"/>
        </w:rPr>
      </w:pPr>
    </w:p>
    <w:p w14:paraId="0E028057" w14:textId="77777777" w:rsidR="00570879" w:rsidRPr="00570879" w:rsidRDefault="00570879" w:rsidP="00570879">
      <w:pPr>
        <w:jc w:val="both"/>
        <w:outlineLvl w:val="0"/>
        <w:rPr>
          <w:rFonts w:eastAsia="Calibri" w:cs="Times New Roman"/>
          <w:bCs/>
          <w:iCs w:val="0"/>
          <w:szCs w:val="22"/>
          <w:lang w:val="es-MX" w:eastAsia="en-US"/>
        </w:rPr>
      </w:pPr>
      <w:r w:rsidRPr="00570879">
        <w:rPr>
          <w:rFonts w:eastAsia="Calibri" w:cs="Times New Roman"/>
          <w:bCs/>
          <w:iCs w:val="0"/>
          <w:szCs w:val="22"/>
          <w:lang w:val="es-MX" w:eastAsia="en-US"/>
        </w:rPr>
        <w:t>Durante el periodo que se informa, las Entidades Paraestatales Empresariales</w:t>
      </w:r>
      <w:r w:rsidRPr="00570879">
        <w:rPr>
          <w:rFonts w:eastAsia="Calibri" w:cs="Times New Roman"/>
          <w:iCs w:val="0"/>
          <w:szCs w:val="22"/>
          <w:lang w:val="es-MX" w:eastAsia="en-US"/>
        </w:rPr>
        <w:t xml:space="preserve"> No Financieras</w:t>
      </w:r>
      <w:r w:rsidRPr="00570879">
        <w:rPr>
          <w:rFonts w:eastAsia="Calibri" w:cs="Times New Roman"/>
          <w:bCs/>
          <w:iCs w:val="0"/>
          <w:szCs w:val="22"/>
          <w:lang w:val="es-MX" w:eastAsia="en-US"/>
        </w:rPr>
        <w:t xml:space="preserve"> con Participación Estatal Mayoritaria, recibieron ingresos de inversión por la cantidad de 1 mil 371.8 millones de pesos. El gasto de funcionamiento devengado por el periodo comprendido del 1 de enero al 31 de diciembre de 2023 asciende a 495.5 millones de pesos, el cual refleja un flujo positivo por actividades de inversión por un importe de 876.3 millones de pesos.</w:t>
      </w:r>
    </w:p>
    <w:p w14:paraId="11024913" w14:textId="77777777" w:rsidR="00570879" w:rsidRPr="00570879" w:rsidRDefault="00570879" w:rsidP="00570879">
      <w:pPr>
        <w:jc w:val="both"/>
        <w:outlineLvl w:val="0"/>
        <w:rPr>
          <w:rFonts w:eastAsia="Calibri" w:cs="Times New Roman"/>
          <w:bCs/>
          <w:iCs w:val="0"/>
          <w:szCs w:val="22"/>
          <w:lang w:val="es-MX" w:eastAsia="en-US"/>
        </w:rPr>
      </w:pPr>
    </w:p>
    <w:p w14:paraId="1FBA0B9C" w14:textId="77777777" w:rsidR="00570879" w:rsidRPr="00570879" w:rsidRDefault="00570879" w:rsidP="00570879">
      <w:pPr>
        <w:jc w:val="both"/>
        <w:rPr>
          <w:rFonts w:eastAsia="Calibri"/>
          <w:b/>
          <w:bCs/>
          <w:iCs w:val="0"/>
        </w:rPr>
      </w:pPr>
      <w:r w:rsidRPr="00570879">
        <w:rPr>
          <w:rFonts w:eastAsia="Calibri"/>
          <w:b/>
          <w:bCs/>
          <w:iCs w:val="0"/>
        </w:rPr>
        <w:t>Flujo de efectivo de las actividades de financiamiento</w:t>
      </w:r>
    </w:p>
    <w:p w14:paraId="3F5C31DE" w14:textId="77777777" w:rsidR="00570879" w:rsidRPr="00570879" w:rsidRDefault="00570879" w:rsidP="00570879">
      <w:pPr>
        <w:jc w:val="both"/>
        <w:outlineLvl w:val="0"/>
        <w:rPr>
          <w:rFonts w:eastAsia="Calibri" w:cs="Times New Roman"/>
          <w:b/>
          <w:bCs/>
          <w:iCs w:val="0"/>
          <w:szCs w:val="22"/>
          <w:lang w:val="es-MX" w:eastAsia="en-US"/>
        </w:rPr>
      </w:pPr>
    </w:p>
    <w:p w14:paraId="4EF1F574" w14:textId="77777777" w:rsidR="00570879" w:rsidRPr="00570879" w:rsidRDefault="00570879" w:rsidP="00570879">
      <w:pPr>
        <w:jc w:val="both"/>
        <w:outlineLvl w:val="0"/>
        <w:rPr>
          <w:rFonts w:eastAsia="Calibri" w:cs="Times New Roman"/>
          <w:bCs/>
          <w:iCs w:val="0"/>
          <w:szCs w:val="22"/>
          <w:lang w:val="es-MX" w:eastAsia="en-US"/>
        </w:rPr>
      </w:pPr>
      <w:r w:rsidRPr="00570879">
        <w:rPr>
          <w:rFonts w:eastAsia="Calibri" w:cs="Times New Roman"/>
          <w:bCs/>
          <w:iCs w:val="0"/>
          <w:szCs w:val="22"/>
          <w:lang w:val="es-MX" w:eastAsia="en-US"/>
        </w:rPr>
        <w:t>Durante el periodo que se informa, las Entidades Empresariales No Financieras con Participación Estatal Mayoritaria, recibieron ingresos de financiamiento por la cantidad de 24.0 millones de pesos. El gasto de funcionamiento devengado por el periodo comprendido del 1 de enero al 31 de diciembre de 2023 asciende a 725.2 millones de pesos, el cual refleja un flujo neto a la baja por actividades de financiamiento por un importe de 701.2 millones de pesos.</w:t>
      </w:r>
    </w:p>
    <w:p w14:paraId="33623AE2" w14:textId="5D8DF9D9" w:rsidR="00570879" w:rsidRDefault="00570879" w:rsidP="00570879">
      <w:pPr>
        <w:jc w:val="both"/>
        <w:outlineLvl w:val="0"/>
        <w:rPr>
          <w:rFonts w:eastAsia="Calibri" w:cs="Times New Roman"/>
          <w:b/>
          <w:bCs/>
          <w:iCs w:val="0"/>
          <w:szCs w:val="22"/>
          <w:lang w:val="es-MX" w:eastAsia="en-US"/>
        </w:rPr>
      </w:pPr>
    </w:p>
    <w:p w14:paraId="2AB6F10B" w14:textId="77777777" w:rsidR="008E37AA" w:rsidRPr="00570879" w:rsidRDefault="008E37AA" w:rsidP="00570879">
      <w:pPr>
        <w:jc w:val="both"/>
        <w:outlineLvl w:val="0"/>
        <w:rPr>
          <w:rFonts w:eastAsia="Calibri" w:cs="Times New Roman"/>
          <w:b/>
          <w:bCs/>
          <w:iCs w:val="0"/>
          <w:szCs w:val="22"/>
          <w:lang w:val="es-MX" w:eastAsia="en-US"/>
        </w:rPr>
      </w:pPr>
    </w:p>
    <w:p w14:paraId="5A79BE7A" w14:textId="77777777" w:rsidR="00570879" w:rsidRPr="00570879" w:rsidRDefault="00570879" w:rsidP="00570879">
      <w:pPr>
        <w:jc w:val="both"/>
        <w:rPr>
          <w:rFonts w:eastAsia="Calibri"/>
          <w:b/>
          <w:bCs/>
          <w:iCs w:val="0"/>
        </w:rPr>
      </w:pPr>
      <w:r w:rsidRPr="00570879">
        <w:rPr>
          <w:rFonts w:eastAsia="Calibri"/>
          <w:b/>
          <w:bCs/>
          <w:iCs w:val="0"/>
        </w:rPr>
        <w:t>Efectivo y equivalentes al efectivo al final del ejercicio</w:t>
      </w:r>
    </w:p>
    <w:p w14:paraId="0B8D2803" w14:textId="77777777" w:rsidR="00570879" w:rsidRPr="00570879" w:rsidRDefault="00570879" w:rsidP="00570879">
      <w:pPr>
        <w:jc w:val="both"/>
        <w:outlineLvl w:val="0"/>
        <w:rPr>
          <w:rFonts w:eastAsia="Calibri" w:cs="Times New Roman"/>
          <w:b/>
          <w:bCs/>
          <w:iCs w:val="0"/>
          <w:szCs w:val="22"/>
          <w:lang w:val="es-MX" w:eastAsia="en-US"/>
        </w:rPr>
      </w:pPr>
    </w:p>
    <w:p w14:paraId="4144BED3" w14:textId="77777777" w:rsidR="00570879" w:rsidRPr="00570879" w:rsidRDefault="00570879" w:rsidP="00570879">
      <w:pPr>
        <w:jc w:val="both"/>
        <w:outlineLvl w:val="0"/>
        <w:rPr>
          <w:rFonts w:eastAsia="Calibri" w:cs="Times New Roman"/>
          <w:bCs/>
          <w:iCs w:val="0"/>
          <w:szCs w:val="22"/>
          <w:lang w:val="es-MX" w:eastAsia="en-US"/>
        </w:rPr>
      </w:pPr>
      <w:r w:rsidRPr="00570879">
        <w:rPr>
          <w:rFonts w:eastAsia="Calibri" w:cs="Times New Roman"/>
          <w:bCs/>
          <w:iCs w:val="0"/>
          <w:szCs w:val="22"/>
          <w:lang w:val="es-MX" w:eastAsia="en-US"/>
        </w:rPr>
        <w:t>Las cifras del efectivo y equivalentes al efectivo, al final del ejercicio que figuran en la última parte del Estado de Flujos de Efectivo de las Entidades Paraestatales y Fideicomisos No Empresariales y No Financieros.</w:t>
      </w:r>
    </w:p>
    <w:p w14:paraId="0559864A" w14:textId="77777777" w:rsidR="00570879" w:rsidRPr="00570879" w:rsidRDefault="00570879" w:rsidP="00570879">
      <w:pPr>
        <w:jc w:val="both"/>
        <w:outlineLvl w:val="0"/>
        <w:rPr>
          <w:rFonts w:eastAsia="Calibri" w:cs="Times New Roman"/>
          <w:bCs/>
          <w:iCs w:val="0"/>
          <w:szCs w:val="22"/>
          <w:lang w:val="es-MX" w:eastAsia="en-US"/>
        </w:rPr>
      </w:pPr>
    </w:p>
    <w:p w14:paraId="56816BFF" w14:textId="5C032813" w:rsidR="00570879" w:rsidRPr="00570879" w:rsidRDefault="008E37AA" w:rsidP="00570879">
      <w:pPr>
        <w:jc w:val="center"/>
        <w:outlineLvl w:val="0"/>
        <w:rPr>
          <w:rFonts w:eastAsia="Calibri" w:cs="Times New Roman"/>
          <w:bCs/>
          <w:iCs w:val="0"/>
          <w:szCs w:val="22"/>
          <w:lang w:val="es-MX" w:eastAsia="en-US"/>
        </w:rPr>
      </w:pPr>
      <w:r w:rsidRPr="008E37AA">
        <w:rPr>
          <w:rFonts w:eastAsia="Calibri"/>
          <w:noProof/>
        </w:rPr>
        <w:drawing>
          <wp:inline distT="0" distB="0" distL="0" distR="0" wp14:anchorId="120DFB69" wp14:editId="1671FDA8">
            <wp:extent cx="6332400" cy="1088529"/>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32400" cy="1088529"/>
                    </a:xfrm>
                    <a:prstGeom prst="rect">
                      <a:avLst/>
                    </a:prstGeom>
                    <a:noFill/>
                    <a:ln>
                      <a:noFill/>
                    </a:ln>
                  </pic:spPr>
                </pic:pic>
              </a:graphicData>
            </a:graphic>
          </wp:inline>
        </w:drawing>
      </w:r>
    </w:p>
    <w:p w14:paraId="1060C3F2" w14:textId="77777777" w:rsidR="00570879" w:rsidRPr="00570879" w:rsidRDefault="00570879" w:rsidP="00570879">
      <w:pPr>
        <w:jc w:val="both"/>
        <w:rPr>
          <w:rFonts w:eastAsia="Calibri"/>
          <w:b/>
          <w:bCs/>
          <w:iCs w:val="0"/>
        </w:rPr>
      </w:pPr>
    </w:p>
    <w:p w14:paraId="6B49C5EC" w14:textId="77777777" w:rsidR="00570879" w:rsidRPr="00570879" w:rsidRDefault="00570879" w:rsidP="00570879">
      <w:pPr>
        <w:jc w:val="both"/>
        <w:rPr>
          <w:rFonts w:eastAsia="Calibri"/>
          <w:b/>
          <w:bCs/>
          <w:iCs w:val="0"/>
        </w:rPr>
      </w:pPr>
    </w:p>
    <w:p w14:paraId="083AD29E" w14:textId="77777777" w:rsidR="00570879" w:rsidRPr="00570879" w:rsidRDefault="00570879" w:rsidP="00570879">
      <w:pPr>
        <w:jc w:val="both"/>
        <w:rPr>
          <w:rFonts w:eastAsia="Calibri"/>
          <w:b/>
          <w:bCs/>
          <w:iCs w:val="0"/>
        </w:rPr>
      </w:pPr>
      <w:r w:rsidRPr="00570879">
        <w:rPr>
          <w:rFonts w:eastAsia="Calibri"/>
          <w:b/>
          <w:bCs/>
          <w:iCs w:val="0"/>
        </w:rPr>
        <w:t xml:space="preserve">Efectivo y Equivalentes </w:t>
      </w:r>
    </w:p>
    <w:p w14:paraId="53AEAFD2" w14:textId="77777777" w:rsidR="00570879" w:rsidRPr="00570879" w:rsidRDefault="00570879" w:rsidP="00570879">
      <w:pPr>
        <w:jc w:val="both"/>
        <w:outlineLvl w:val="0"/>
        <w:rPr>
          <w:rFonts w:eastAsia="Calibri" w:cs="Times New Roman"/>
          <w:b/>
          <w:bCs/>
          <w:iCs w:val="0"/>
          <w:szCs w:val="22"/>
          <w:lang w:val="es-MX" w:eastAsia="en-US"/>
        </w:rPr>
      </w:pPr>
    </w:p>
    <w:p w14:paraId="6F9BDC82" w14:textId="77777777" w:rsidR="00570879" w:rsidRPr="00570879" w:rsidRDefault="00570879" w:rsidP="00570879">
      <w:pPr>
        <w:jc w:val="both"/>
        <w:outlineLvl w:val="0"/>
        <w:rPr>
          <w:rFonts w:eastAsia="Calibri" w:cs="Times New Roman"/>
          <w:bCs/>
          <w:iCs w:val="0"/>
          <w:szCs w:val="22"/>
          <w:lang w:val="es-MX" w:eastAsia="en-US"/>
        </w:rPr>
      </w:pPr>
      <w:r w:rsidRPr="00570879">
        <w:rPr>
          <w:rFonts w:eastAsia="Calibri" w:cs="Times New Roman"/>
          <w:bCs/>
          <w:iCs w:val="0"/>
          <w:szCs w:val="22"/>
          <w:lang w:val="es-MX" w:eastAsia="en-US"/>
        </w:rPr>
        <w:t>El análisis de los saldos inicial y final del efectivo y equivalentes al efectivo, al final del ejercicio del estado de flujos de efectivo, respecto a la composición del rubro efectivo y equivalentes es como sigue:</w:t>
      </w:r>
    </w:p>
    <w:p w14:paraId="49676388" w14:textId="77777777" w:rsidR="00570879" w:rsidRPr="00570879" w:rsidRDefault="00570879" w:rsidP="00570879">
      <w:pPr>
        <w:jc w:val="both"/>
        <w:outlineLvl w:val="0"/>
        <w:rPr>
          <w:rFonts w:eastAsia="Calibri" w:cs="Times New Roman"/>
          <w:b/>
          <w:bCs/>
          <w:iCs w:val="0"/>
          <w:szCs w:val="22"/>
          <w:lang w:val="es-MX" w:eastAsia="en-US"/>
        </w:rPr>
      </w:pPr>
    </w:p>
    <w:p w14:paraId="1E623F6F" w14:textId="77777777" w:rsidR="00570879" w:rsidRPr="00570879" w:rsidRDefault="00570879" w:rsidP="00570879">
      <w:pPr>
        <w:tabs>
          <w:tab w:val="left" w:pos="6840"/>
        </w:tabs>
        <w:jc w:val="center"/>
        <w:outlineLvl w:val="0"/>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3E10F690" wp14:editId="2BCFC629">
            <wp:extent cx="6331585" cy="1785702"/>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1585" cy="1785702"/>
                    </a:xfrm>
                    <a:prstGeom prst="rect">
                      <a:avLst/>
                    </a:prstGeom>
                    <a:noFill/>
                    <a:ln>
                      <a:noFill/>
                    </a:ln>
                  </pic:spPr>
                </pic:pic>
              </a:graphicData>
            </a:graphic>
          </wp:inline>
        </w:drawing>
      </w:r>
    </w:p>
    <w:p w14:paraId="3A2855CC" w14:textId="77777777" w:rsidR="00570879" w:rsidRPr="00570879" w:rsidRDefault="00570879" w:rsidP="008E37AA">
      <w:pPr>
        <w:tabs>
          <w:tab w:val="left" w:pos="6840"/>
        </w:tabs>
        <w:jc w:val="both"/>
        <w:outlineLvl w:val="0"/>
        <w:rPr>
          <w:rFonts w:eastAsia="Calibri" w:cs="Times New Roman"/>
          <w:iCs w:val="0"/>
          <w:szCs w:val="22"/>
          <w:lang w:val="es-MX" w:eastAsia="en-US"/>
        </w:rPr>
      </w:pPr>
    </w:p>
    <w:p w14:paraId="38705019" w14:textId="77777777" w:rsidR="00570879" w:rsidRPr="00570879" w:rsidRDefault="00570879" w:rsidP="00570879">
      <w:pPr>
        <w:tabs>
          <w:tab w:val="left" w:pos="6840"/>
        </w:tabs>
        <w:jc w:val="both"/>
        <w:outlineLvl w:val="0"/>
        <w:rPr>
          <w:rFonts w:eastAsia="Calibri" w:cs="Times New Roman"/>
          <w:iCs w:val="0"/>
          <w:szCs w:val="22"/>
          <w:lang w:val="es-MX" w:eastAsia="en-US"/>
        </w:rPr>
      </w:pPr>
    </w:p>
    <w:p w14:paraId="47BD9284" w14:textId="77777777" w:rsidR="00570879" w:rsidRPr="00570879" w:rsidRDefault="00570879" w:rsidP="00570879">
      <w:pPr>
        <w:jc w:val="both"/>
        <w:rPr>
          <w:rFonts w:eastAsia="Calibri"/>
          <w:b/>
          <w:bCs/>
          <w:iCs w:val="0"/>
        </w:rPr>
      </w:pPr>
      <w:r w:rsidRPr="00570879">
        <w:rPr>
          <w:rFonts w:eastAsia="Calibri"/>
          <w:b/>
          <w:bCs/>
          <w:iCs w:val="0"/>
        </w:rPr>
        <w:t>Adquisiciones de las Actividades de Inversión efectivamente pagadas</w:t>
      </w:r>
    </w:p>
    <w:p w14:paraId="4EAABE13" w14:textId="77777777" w:rsidR="00570879" w:rsidRPr="00570879" w:rsidRDefault="00570879" w:rsidP="00570879">
      <w:pPr>
        <w:jc w:val="both"/>
        <w:outlineLvl w:val="0"/>
        <w:rPr>
          <w:rFonts w:eastAsia="Calibri" w:cs="Times New Roman"/>
          <w:b/>
          <w:bCs/>
          <w:iCs w:val="0"/>
          <w:szCs w:val="22"/>
          <w:lang w:val="es-MX" w:eastAsia="en-US"/>
        </w:rPr>
      </w:pPr>
    </w:p>
    <w:p w14:paraId="074ABCDE" w14:textId="77777777" w:rsidR="00570879" w:rsidRPr="00570879" w:rsidRDefault="00570879" w:rsidP="00570879">
      <w:pPr>
        <w:jc w:val="both"/>
        <w:outlineLvl w:val="0"/>
        <w:rPr>
          <w:rFonts w:eastAsia="Calibri" w:cs="Times New Roman"/>
          <w:bCs/>
          <w:iCs w:val="0"/>
          <w:szCs w:val="22"/>
          <w:lang w:val="es-MX" w:eastAsia="en-US"/>
        </w:rPr>
      </w:pPr>
      <w:r w:rsidRPr="00570879">
        <w:rPr>
          <w:rFonts w:eastAsia="Calibri" w:cs="Times New Roman"/>
          <w:bCs/>
          <w:iCs w:val="0"/>
          <w:szCs w:val="22"/>
          <w:lang w:val="es-MX" w:eastAsia="en-US"/>
        </w:rPr>
        <w:t>Al 31 de diciembre de 2023, se realizaron adquisiciones de las Actividades de Inversión efectivamente pagadas, respecto del apartado de aplicación, mismas que a continuación se describen:</w:t>
      </w:r>
    </w:p>
    <w:p w14:paraId="593C3B95" w14:textId="77777777" w:rsidR="00570879" w:rsidRPr="00570879" w:rsidRDefault="00570879" w:rsidP="00570879">
      <w:pPr>
        <w:jc w:val="both"/>
        <w:outlineLvl w:val="0"/>
        <w:rPr>
          <w:rFonts w:eastAsia="Calibri" w:cs="Times New Roman"/>
          <w:bCs/>
          <w:iCs w:val="0"/>
          <w:szCs w:val="22"/>
          <w:lang w:val="es-MX" w:eastAsia="en-US"/>
        </w:rPr>
      </w:pPr>
    </w:p>
    <w:p w14:paraId="76C6A009" w14:textId="77777777" w:rsidR="00570879" w:rsidRPr="00570879" w:rsidRDefault="00570879" w:rsidP="00570879">
      <w:pPr>
        <w:jc w:val="center"/>
        <w:outlineLvl w:val="0"/>
        <w:rPr>
          <w:rFonts w:eastAsia="Calibri" w:cs="Times New Roman"/>
          <w:bCs/>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5CF1D02F" wp14:editId="43CC8B3E">
            <wp:extent cx="6331585" cy="2584508"/>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585" cy="2584508"/>
                    </a:xfrm>
                    <a:prstGeom prst="rect">
                      <a:avLst/>
                    </a:prstGeom>
                    <a:noFill/>
                    <a:ln>
                      <a:noFill/>
                    </a:ln>
                  </pic:spPr>
                </pic:pic>
              </a:graphicData>
            </a:graphic>
          </wp:inline>
        </w:drawing>
      </w:r>
    </w:p>
    <w:p w14:paraId="3CF68277" w14:textId="77777777" w:rsidR="00570879" w:rsidRPr="00570879" w:rsidRDefault="00570879" w:rsidP="00570879">
      <w:pPr>
        <w:numPr>
          <w:ilvl w:val="1"/>
          <w:numId w:val="0"/>
        </w:numPr>
        <w:jc w:val="both"/>
        <w:rPr>
          <w:rFonts w:cs="Times New Roman"/>
          <w:b/>
          <w:iCs w:val="0"/>
          <w:szCs w:val="22"/>
          <w:lang w:val="es-MX" w:eastAsia="en-US"/>
        </w:rPr>
      </w:pPr>
    </w:p>
    <w:p w14:paraId="57F7D92F" w14:textId="2E1CDE1D" w:rsidR="00570879" w:rsidRDefault="00570879" w:rsidP="00570879">
      <w:pPr>
        <w:numPr>
          <w:ilvl w:val="1"/>
          <w:numId w:val="0"/>
        </w:numPr>
        <w:jc w:val="both"/>
        <w:rPr>
          <w:rFonts w:cs="Times New Roman"/>
          <w:b/>
          <w:iCs w:val="0"/>
          <w:szCs w:val="22"/>
          <w:lang w:val="es-MX" w:eastAsia="en-US"/>
        </w:rPr>
      </w:pPr>
    </w:p>
    <w:p w14:paraId="2481CE56" w14:textId="77777777" w:rsidR="008E37AA" w:rsidRPr="00570879" w:rsidRDefault="008E37AA" w:rsidP="00570879">
      <w:pPr>
        <w:numPr>
          <w:ilvl w:val="1"/>
          <w:numId w:val="0"/>
        </w:numPr>
        <w:jc w:val="both"/>
        <w:rPr>
          <w:rFonts w:cs="Times New Roman"/>
          <w:b/>
          <w:iCs w:val="0"/>
          <w:szCs w:val="22"/>
          <w:lang w:val="es-MX" w:eastAsia="en-US"/>
        </w:rPr>
      </w:pPr>
    </w:p>
    <w:p w14:paraId="5A53C4A0" w14:textId="77777777" w:rsidR="00570879" w:rsidRPr="00570879" w:rsidRDefault="00570879" w:rsidP="00570879">
      <w:pPr>
        <w:jc w:val="both"/>
        <w:rPr>
          <w:rFonts w:eastAsia="Calibri"/>
          <w:b/>
          <w:bCs/>
          <w:iCs w:val="0"/>
        </w:rPr>
      </w:pPr>
      <w:r w:rsidRPr="00570879">
        <w:rPr>
          <w:rFonts w:eastAsia="Calibri"/>
          <w:b/>
          <w:bCs/>
          <w:iCs w:val="0"/>
        </w:rPr>
        <w:t>Conciliación de Flujos de Efectivo Netos</w:t>
      </w:r>
    </w:p>
    <w:p w14:paraId="5AAB252F" w14:textId="77777777" w:rsidR="00570879" w:rsidRPr="00570879" w:rsidRDefault="00570879" w:rsidP="00570879">
      <w:pPr>
        <w:jc w:val="both"/>
        <w:outlineLvl w:val="0"/>
        <w:rPr>
          <w:rFonts w:eastAsia="Calibri" w:cs="Times New Roman"/>
          <w:b/>
          <w:bCs/>
          <w:iCs w:val="0"/>
          <w:szCs w:val="22"/>
          <w:lang w:val="es-MX" w:eastAsia="en-US"/>
        </w:rPr>
      </w:pPr>
    </w:p>
    <w:p w14:paraId="72BE6DF6" w14:textId="77777777" w:rsidR="00570879" w:rsidRPr="00570879" w:rsidRDefault="00570879" w:rsidP="00570879">
      <w:pPr>
        <w:jc w:val="both"/>
        <w:outlineLvl w:val="0"/>
        <w:rPr>
          <w:rFonts w:eastAsia="Calibri" w:cs="Times New Roman"/>
          <w:bCs/>
          <w:iCs w:val="0"/>
          <w:szCs w:val="22"/>
          <w:lang w:val="es-MX" w:eastAsia="en-US"/>
        </w:rPr>
      </w:pPr>
      <w:r w:rsidRPr="00570879">
        <w:rPr>
          <w:rFonts w:eastAsia="Calibri" w:cs="Times New Roman"/>
          <w:bCs/>
          <w:iCs w:val="0"/>
          <w:szCs w:val="22"/>
          <w:lang w:val="es-MX" w:eastAsia="en-US"/>
        </w:rPr>
        <w:t>A continuación, se presenta la conciliación de los flujos de efectivo netos de las actividades de operación y saldos de resultados del ejercicio (ahorro/desahorro):</w:t>
      </w:r>
    </w:p>
    <w:p w14:paraId="0E8D7A2B" w14:textId="77777777" w:rsidR="00570879" w:rsidRPr="00570879" w:rsidRDefault="00570879" w:rsidP="00570879">
      <w:pPr>
        <w:tabs>
          <w:tab w:val="left" w:pos="6840"/>
        </w:tabs>
        <w:jc w:val="both"/>
        <w:outlineLvl w:val="0"/>
        <w:rPr>
          <w:rFonts w:eastAsia="Calibri" w:cs="Times New Roman"/>
          <w:iCs w:val="0"/>
          <w:szCs w:val="22"/>
          <w:lang w:val="es-MX" w:eastAsia="en-US"/>
        </w:rPr>
      </w:pPr>
    </w:p>
    <w:p w14:paraId="64948A94" w14:textId="77777777" w:rsidR="00570879" w:rsidRPr="00570879" w:rsidRDefault="00570879" w:rsidP="00570879">
      <w:pPr>
        <w:tabs>
          <w:tab w:val="left" w:pos="6840"/>
        </w:tabs>
        <w:jc w:val="center"/>
        <w:outlineLvl w:val="0"/>
        <w:rPr>
          <w:rFonts w:eastAsia="Calibri" w:cs="Times New Roman"/>
          <w:iCs w:val="0"/>
          <w:szCs w:val="22"/>
          <w:lang w:val="es-MX" w:eastAsia="en-US"/>
        </w:rPr>
      </w:pPr>
      <w:r w:rsidRPr="00570879">
        <w:rPr>
          <w:rFonts w:ascii="Calibri" w:eastAsia="Calibri" w:hAnsi="Calibri" w:cs="Times New Roman"/>
          <w:iCs w:val="0"/>
          <w:noProof/>
          <w:sz w:val="22"/>
          <w:szCs w:val="22"/>
          <w:lang w:val="es-MX" w:eastAsia="en-US"/>
        </w:rPr>
        <w:drawing>
          <wp:inline distT="0" distB="0" distL="0" distR="0" wp14:anchorId="1906A025" wp14:editId="2E3A5E05">
            <wp:extent cx="6331585" cy="163654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1585" cy="1636549"/>
                    </a:xfrm>
                    <a:prstGeom prst="rect">
                      <a:avLst/>
                    </a:prstGeom>
                    <a:noFill/>
                    <a:ln>
                      <a:noFill/>
                    </a:ln>
                  </pic:spPr>
                </pic:pic>
              </a:graphicData>
            </a:graphic>
          </wp:inline>
        </w:drawing>
      </w:r>
    </w:p>
    <w:p w14:paraId="31952A21" w14:textId="77777777" w:rsidR="00570879" w:rsidRPr="00570879" w:rsidRDefault="00570879" w:rsidP="00570879">
      <w:pPr>
        <w:jc w:val="both"/>
        <w:outlineLvl w:val="0"/>
        <w:rPr>
          <w:rFonts w:eastAsia="Calibri" w:cs="Times New Roman"/>
          <w:iCs w:val="0"/>
          <w:szCs w:val="22"/>
          <w:lang w:val="es-MX" w:eastAsia="en-US"/>
        </w:rPr>
      </w:pPr>
    </w:p>
    <w:p w14:paraId="427E1013" w14:textId="77777777" w:rsidR="00570879" w:rsidRPr="00570879" w:rsidRDefault="00570879" w:rsidP="00570879">
      <w:pPr>
        <w:jc w:val="both"/>
        <w:rPr>
          <w:rFonts w:eastAsia="Calibri"/>
          <w:b/>
          <w:bCs/>
          <w:iCs w:val="0"/>
        </w:rPr>
      </w:pPr>
    </w:p>
    <w:p w14:paraId="793B8BCE" w14:textId="77777777" w:rsidR="00570879" w:rsidRPr="00570879" w:rsidRDefault="00570879" w:rsidP="00570879">
      <w:pPr>
        <w:jc w:val="both"/>
        <w:rPr>
          <w:rFonts w:eastAsia="Calibri"/>
          <w:b/>
          <w:bCs/>
          <w:iCs w:val="0"/>
        </w:rPr>
      </w:pPr>
      <w:r w:rsidRPr="00570879">
        <w:rPr>
          <w:rFonts w:eastAsia="Calibri"/>
          <w:b/>
          <w:bCs/>
          <w:iCs w:val="0"/>
        </w:rPr>
        <w:t>Conciliación entre los ingresos presupuestarios y contables, así como entre los egresos presupuestarios y los gastos contables</w:t>
      </w:r>
    </w:p>
    <w:p w14:paraId="7C6F550B" w14:textId="77777777" w:rsidR="00570879" w:rsidRPr="00570879" w:rsidRDefault="00570879" w:rsidP="00570879">
      <w:pPr>
        <w:jc w:val="both"/>
        <w:outlineLvl w:val="0"/>
        <w:rPr>
          <w:rFonts w:eastAsia="Calibri" w:cs="Times New Roman"/>
          <w:bCs/>
          <w:iCs w:val="0"/>
          <w:szCs w:val="22"/>
          <w:lang w:val="es-MX" w:eastAsia="en-US"/>
        </w:rPr>
      </w:pPr>
    </w:p>
    <w:p w14:paraId="561E86E6" w14:textId="77777777" w:rsidR="00570879" w:rsidRPr="00570879" w:rsidRDefault="00570879" w:rsidP="00570879">
      <w:pPr>
        <w:jc w:val="both"/>
        <w:outlineLvl w:val="0"/>
        <w:rPr>
          <w:rFonts w:eastAsia="Calibri" w:cs="Times New Roman"/>
          <w:bCs/>
          <w:iCs w:val="0"/>
          <w:szCs w:val="22"/>
          <w:lang w:val="es-MX" w:eastAsia="en-US"/>
        </w:rPr>
      </w:pPr>
      <w:r w:rsidRPr="00570879">
        <w:rPr>
          <w:rFonts w:eastAsia="Calibri" w:cs="Times New Roman"/>
          <w:bCs/>
          <w:iCs w:val="0"/>
          <w:szCs w:val="22"/>
          <w:lang w:val="es-MX" w:eastAsia="en-U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Entidades Paraestatales Empresariales no Financieras con Participación Estatal Mayoritaria, correspondiente al periodo del 1 de enero al 31 de diciembre de 2023:</w:t>
      </w:r>
    </w:p>
    <w:p w14:paraId="6C2A01CA" w14:textId="77777777" w:rsidR="00570879" w:rsidRPr="00570879" w:rsidRDefault="00570879" w:rsidP="007F4BED">
      <w:pPr>
        <w:jc w:val="center"/>
        <w:outlineLvl w:val="0"/>
        <w:rPr>
          <w:rFonts w:eastAsia="Calibri" w:cs="Times New Roman"/>
          <w:iCs w:val="0"/>
          <w:szCs w:val="22"/>
          <w:lang w:val="es-MX" w:eastAsia="en-US"/>
        </w:rPr>
      </w:pPr>
    </w:p>
    <w:p w14:paraId="2293933A" w14:textId="77777777" w:rsidR="00570879" w:rsidRPr="00570879" w:rsidRDefault="00570879" w:rsidP="007F4BED">
      <w:pPr>
        <w:jc w:val="center"/>
        <w:outlineLvl w:val="0"/>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1035B099" wp14:editId="76C49BB2">
            <wp:extent cx="6331585" cy="3232967"/>
            <wp:effectExtent l="0" t="0" r="0" b="0"/>
            <wp:docPr id="1252036161" name="Imagen 125203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3232967"/>
                    </a:xfrm>
                    <a:prstGeom prst="rect">
                      <a:avLst/>
                    </a:prstGeom>
                    <a:noFill/>
                    <a:ln>
                      <a:noFill/>
                    </a:ln>
                  </pic:spPr>
                </pic:pic>
              </a:graphicData>
            </a:graphic>
          </wp:inline>
        </w:drawing>
      </w:r>
    </w:p>
    <w:p w14:paraId="1283E0D4" w14:textId="77777777" w:rsidR="00570879" w:rsidRPr="00570879" w:rsidRDefault="00570879" w:rsidP="00570879">
      <w:pPr>
        <w:jc w:val="both"/>
        <w:outlineLvl w:val="0"/>
        <w:rPr>
          <w:rFonts w:eastAsia="Calibri" w:cs="Times New Roman"/>
          <w:iCs w:val="0"/>
          <w:szCs w:val="22"/>
          <w:lang w:val="es-MX" w:eastAsia="en-US"/>
        </w:rPr>
      </w:pPr>
    </w:p>
    <w:p w14:paraId="6854E6CD" w14:textId="77777777" w:rsidR="00570879" w:rsidRPr="00570879" w:rsidRDefault="00570879" w:rsidP="00570879">
      <w:pPr>
        <w:jc w:val="both"/>
        <w:outlineLvl w:val="0"/>
        <w:rPr>
          <w:rFonts w:eastAsia="Calibri" w:cs="Times New Roman"/>
          <w:iCs w:val="0"/>
          <w:szCs w:val="22"/>
          <w:lang w:val="es-MX" w:eastAsia="en-US"/>
        </w:rPr>
      </w:pPr>
    </w:p>
    <w:p w14:paraId="1C2732BF" w14:textId="77777777" w:rsidR="00570879" w:rsidRPr="00570879" w:rsidRDefault="00570879" w:rsidP="00570879">
      <w:pPr>
        <w:jc w:val="both"/>
        <w:outlineLvl w:val="0"/>
        <w:rPr>
          <w:rFonts w:eastAsia="Calibri" w:cs="Times New Roman"/>
          <w:iCs w:val="0"/>
          <w:szCs w:val="22"/>
          <w:lang w:val="es-MX" w:eastAsia="en-US"/>
        </w:rPr>
      </w:pPr>
    </w:p>
    <w:p w14:paraId="26D28EEC" w14:textId="77777777" w:rsidR="00570879" w:rsidRPr="00570879" w:rsidRDefault="00570879" w:rsidP="00570879">
      <w:pPr>
        <w:jc w:val="both"/>
        <w:outlineLvl w:val="0"/>
        <w:rPr>
          <w:rFonts w:ascii="Calibri" w:eastAsia="Calibri" w:hAnsi="Calibri" w:cs="Times New Roman"/>
          <w:iCs w:val="0"/>
          <w:sz w:val="22"/>
          <w:szCs w:val="22"/>
          <w:lang w:val="es-MX" w:eastAsia="en-US"/>
        </w:rPr>
      </w:pPr>
    </w:p>
    <w:p w14:paraId="76C1BCC9" w14:textId="77777777" w:rsidR="00570879" w:rsidRPr="00570879" w:rsidRDefault="00570879" w:rsidP="007F4BED">
      <w:pPr>
        <w:jc w:val="center"/>
        <w:outlineLvl w:val="0"/>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6F95EBC1" wp14:editId="65824120">
            <wp:extent cx="6331585" cy="6270721"/>
            <wp:effectExtent l="0" t="0" r="0" b="0"/>
            <wp:docPr id="1252036163" name="Imagen 125203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1585" cy="6270721"/>
                    </a:xfrm>
                    <a:prstGeom prst="rect">
                      <a:avLst/>
                    </a:prstGeom>
                    <a:noFill/>
                    <a:ln>
                      <a:noFill/>
                    </a:ln>
                  </pic:spPr>
                </pic:pic>
              </a:graphicData>
            </a:graphic>
          </wp:inline>
        </w:drawing>
      </w:r>
    </w:p>
    <w:p w14:paraId="01746F0C" w14:textId="77777777" w:rsidR="00570879" w:rsidRPr="00570879" w:rsidRDefault="00570879" w:rsidP="00570879">
      <w:pPr>
        <w:jc w:val="both"/>
        <w:rPr>
          <w:rFonts w:eastAsia="Calibri" w:cs="Times New Roman"/>
          <w:iCs w:val="0"/>
          <w:szCs w:val="22"/>
          <w:lang w:val="es-MX" w:eastAsia="en-US"/>
        </w:rPr>
      </w:pPr>
    </w:p>
    <w:p w14:paraId="01F9A9CC" w14:textId="77777777" w:rsidR="00570879" w:rsidRPr="00570879" w:rsidRDefault="00570879" w:rsidP="00570879">
      <w:pPr>
        <w:tabs>
          <w:tab w:val="left" w:pos="6840"/>
        </w:tabs>
        <w:jc w:val="both"/>
        <w:outlineLvl w:val="0"/>
        <w:rPr>
          <w:rFonts w:eastAsia="Calibri" w:cs="Times New Roman"/>
          <w:iCs w:val="0"/>
          <w:szCs w:val="22"/>
          <w:lang w:val="es-MX" w:eastAsia="en-US"/>
        </w:rPr>
      </w:pPr>
    </w:p>
    <w:p w14:paraId="61F3B55F" w14:textId="77777777" w:rsidR="00570879" w:rsidRPr="00570879" w:rsidRDefault="00570879" w:rsidP="00570879">
      <w:pPr>
        <w:jc w:val="both"/>
        <w:rPr>
          <w:b/>
          <w:bCs/>
          <w:iCs w:val="0"/>
          <w:sz w:val="24"/>
          <w:szCs w:val="24"/>
        </w:rPr>
      </w:pPr>
      <w:r w:rsidRPr="00570879">
        <w:rPr>
          <w:b/>
          <w:bCs/>
          <w:iCs w:val="0"/>
          <w:sz w:val="24"/>
          <w:szCs w:val="24"/>
        </w:rPr>
        <w:t xml:space="preserve">Notas de memoria (cuentas de orden) </w:t>
      </w:r>
    </w:p>
    <w:p w14:paraId="5D81FB8B" w14:textId="77777777" w:rsidR="00570879" w:rsidRPr="00570879" w:rsidRDefault="00570879" w:rsidP="00570879">
      <w:pPr>
        <w:jc w:val="both"/>
        <w:outlineLvl w:val="0"/>
        <w:rPr>
          <w:rFonts w:eastAsia="Calibri" w:cs="Times New Roman"/>
          <w:b/>
          <w:bCs/>
          <w:iCs w:val="0"/>
          <w:szCs w:val="22"/>
          <w:lang w:val="es-MX" w:eastAsia="en-US"/>
        </w:rPr>
      </w:pPr>
    </w:p>
    <w:p w14:paraId="5E9BE1E7" w14:textId="77777777" w:rsidR="00570879" w:rsidRPr="00570879" w:rsidRDefault="00570879" w:rsidP="00570879">
      <w:pPr>
        <w:jc w:val="both"/>
        <w:outlineLvl w:val="0"/>
        <w:rPr>
          <w:rFonts w:eastAsia="Calibri" w:cs="Times New Roman"/>
          <w:bCs/>
          <w:iCs w:val="0"/>
          <w:szCs w:val="22"/>
          <w:lang w:val="es-MX" w:eastAsia="en-US"/>
        </w:rPr>
      </w:pPr>
      <w:r w:rsidRPr="00570879">
        <w:rPr>
          <w:rFonts w:eastAsia="Calibri" w:cs="Times New Roman"/>
          <w:bCs/>
          <w:iCs w:val="0"/>
          <w:szCs w:val="22"/>
          <w:lang w:val="es-MX" w:eastAsia="en-US"/>
        </w:rPr>
        <w:t>Atendiendo a lo establecido en la Ley General de Contabilidad Gubernamental, para efectos del registro y control, el Consejo Nacional de Armonización Contable ha determinado cuentas de orden contables, mismas que se presentan en el plan de cuentas.</w:t>
      </w:r>
    </w:p>
    <w:p w14:paraId="1D365607" w14:textId="77777777" w:rsidR="00570879" w:rsidRPr="00570879" w:rsidRDefault="00570879" w:rsidP="00570879">
      <w:pPr>
        <w:jc w:val="both"/>
        <w:outlineLvl w:val="0"/>
        <w:rPr>
          <w:rFonts w:eastAsia="Calibri" w:cs="Times New Roman"/>
          <w:bCs/>
          <w:iCs w:val="0"/>
          <w:szCs w:val="22"/>
          <w:lang w:val="es-MX" w:eastAsia="en-US"/>
        </w:rPr>
      </w:pPr>
    </w:p>
    <w:p w14:paraId="488F0EBA" w14:textId="77777777" w:rsidR="00570879" w:rsidRPr="00570879" w:rsidRDefault="00570879" w:rsidP="00570879">
      <w:pPr>
        <w:jc w:val="both"/>
        <w:outlineLvl w:val="0"/>
        <w:rPr>
          <w:rFonts w:eastAsia="Calibri" w:cs="Times New Roman"/>
          <w:bCs/>
          <w:iCs w:val="0"/>
          <w:szCs w:val="22"/>
          <w:lang w:val="es-MX" w:eastAsia="en-US"/>
        </w:rPr>
      </w:pPr>
      <w:r w:rsidRPr="00570879">
        <w:rPr>
          <w:rFonts w:eastAsia="Calibri" w:cs="Times New Roman"/>
          <w:bCs/>
          <w:iCs w:val="0"/>
          <w:szCs w:val="22"/>
          <w:lang w:val="es-MX" w:eastAsia="en-US"/>
        </w:rPr>
        <w:t>Las notas de memoria, representan los movimientos de valores que no afecten o modifiquen el balance de las Entidades Paraestatales Empresariales No Financieras con Participación Estatal Mayoritaria, sin embargo, su incorporación en libros es necesaria con fines de recordatorio contable, de control y en general sobre los aspectos administrativos, o bien, para consignar sus derechos o responsabilidades contingentes que puedan, o no, presentarse en el futuro.</w:t>
      </w:r>
    </w:p>
    <w:p w14:paraId="3334DAA6" w14:textId="77777777" w:rsidR="00570879" w:rsidRPr="00570879" w:rsidRDefault="00570879" w:rsidP="00570879">
      <w:pPr>
        <w:jc w:val="both"/>
        <w:outlineLvl w:val="0"/>
        <w:rPr>
          <w:rFonts w:eastAsia="Calibri" w:cs="Times New Roman"/>
          <w:bCs/>
          <w:iCs w:val="0"/>
          <w:szCs w:val="22"/>
          <w:lang w:val="es-MX" w:eastAsia="en-US"/>
        </w:rPr>
      </w:pPr>
    </w:p>
    <w:p w14:paraId="734AE2E6" w14:textId="77777777" w:rsidR="008E37AA" w:rsidRDefault="008E37AA">
      <w:pPr>
        <w:rPr>
          <w:rFonts w:eastAsia="Calibri"/>
          <w:b/>
          <w:bCs/>
          <w:iCs w:val="0"/>
        </w:rPr>
      </w:pPr>
      <w:r>
        <w:rPr>
          <w:rFonts w:eastAsia="Calibri"/>
          <w:b/>
          <w:bCs/>
          <w:iCs w:val="0"/>
        </w:rPr>
        <w:br w:type="page"/>
      </w:r>
    </w:p>
    <w:p w14:paraId="0DB4ED6C" w14:textId="22D57DE1" w:rsidR="00570879" w:rsidRPr="00570879" w:rsidRDefault="00570879" w:rsidP="00570879">
      <w:pPr>
        <w:jc w:val="both"/>
        <w:rPr>
          <w:rFonts w:eastAsia="Calibri"/>
          <w:b/>
          <w:bCs/>
          <w:iCs w:val="0"/>
          <w:caps/>
        </w:rPr>
      </w:pPr>
      <w:r w:rsidRPr="00570879">
        <w:rPr>
          <w:rFonts w:eastAsia="Calibri"/>
          <w:b/>
          <w:bCs/>
          <w:iCs w:val="0"/>
        </w:rPr>
        <w:t>Cuentas de orden contables</w:t>
      </w:r>
    </w:p>
    <w:p w14:paraId="7104F6E9" w14:textId="77777777" w:rsidR="00570879" w:rsidRPr="00570879" w:rsidRDefault="00570879" w:rsidP="00570879">
      <w:pPr>
        <w:jc w:val="both"/>
        <w:outlineLvl w:val="0"/>
        <w:rPr>
          <w:rFonts w:eastAsia="Calibri" w:cs="Times New Roman"/>
          <w:b/>
          <w:bCs/>
          <w:iCs w:val="0"/>
          <w:szCs w:val="22"/>
          <w:lang w:val="es-MX" w:eastAsia="en-US"/>
        </w:rPr>
      </w:pPr>
    </w:p>
    <w:p w14:paraId="66814F10" w14:textId="77777777" w:rsidR="00570879" w:rsidRPr="00570879" w:rsidRDefault="00570879" w:rsidP="00570879">
      <w:pPr>
        <w:jc w:val="both"/>
        <w:rPr>
          <w:rFonts w:eastAsia="Calibri"/>
          <w:b/>
          <w:bCs/>
          <w:iCs w:val="0"/>
        </w:rPr>
      </w:pPr>
      <w:r w:rsidRPr="00570879">
        <w:rPr>
          <w:rFonts w:eastAsia="Calibri"/>
          <w:b/>
          <w:bCs/>
          <w:iCs w:val="0"/>
        </w:rPr>
        <w:t>Bienes en concesionados o en comodato</w:t>
      </w:r>
    </w:p>
    <w:p w14:paraId="09C313EC" w14:textId="77777777" w:rsidR="00570879" w:rsidRPr="00570879" w:rsidRDefault="00570879" w:rsidP="00570879">
      <w:pPr>
        <w:autoSpaceDE w:val="0"/>
        <w:autoSpaceDN w:val="0"/>
        <w:adjustRightInd w:val="0"/>
        <w:jc w:val="both"/>
        <w:rPr>
          <w:rFonts w:eastAsia="Calibri" w:cs="Times New Roman"/>
          <w:b/>
          <w:i/>
          <w:iCs w:val="0"/>
          <w:szCs w:val="22"/>
          <w:lang w:val="es-MX" w:eastAsia="en-US"/>
        </w:rPr>
      </w:pPr>
    </w:p>
    <w:p w14:paraId="1BE008EC" w14:textId="77777777" w:rsidR="00570879" w:rsidRPr="00570879" w:rsidRDefault="00570879" w:rsidP="00570879">
      <w:pPr>
        <w:autoSpaceDE w:val="0"/>
        <w:autoSpaceDN w:val="0"/>
        <w:adjustRightInd w:val="0"/>
        <w:jc w:val="both"/>
        <w:rPr>
          <w:rFonts w:eastAsia="Calibri" w:cs="Times New Roman"/>
          <w:iCs w:val="0"/>
          <w:szCs w:val="22"/>
          <w:lang w:val="es-MX" w:eastAsia="en-US"/>
        </w:rPr>
      </w:pPr>
      <w:r w:rsidRPr="00570879">
        <w:rPr>
          <w:rFonts w:eastAsia="Calibri" w:cs="Times New Roman"/>
          <w:iCs w:val="0"/>
          <w:szCs w:val="22"/>
          <w:lang w:val="es-MX" w:eastAsia="en-US"/>
        </w:rPr>
        <w:t>Los Bienes en Concesionados o en Comodato, representan los bienes muebles que se otorgan entre entes públicos.</w:t>
      </w:r>
    </w:p>
    <w:p w14:paraId="7CC30472"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608E8AE3" w14:textId="77777777" w:rsidR="00570879" w:rsidRPr="00570879" w:rsidRDefault="00570879" w:rsidP="00570879">
      <w:pPr>
        <w:autoSpaceDE w:val="0"/>
        <w:autoSpaceDN w:val="0"/>
        <w:adjustRightInd w:val="0"/>
        <w:jc w:val="center"/>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510945C3" wp14:editId="6BC61B36">
            <wp:extent cx="6331585" cy="1508421"/>
            <wp:effectExtent l="0" t="0" r="0" b="0"/>
            <wp:docPr id="1252036165" name="Imagen 125203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1508421"/>
                    </a:xfrm>
                    <a:prstGeom prst="rect">
                      <a:avLst/>
                    </a:prstGeom>
                    <a:noFill/>
                    <a:ln>
                      <a:noFill/>
                    </a:ln>
                  </pic:spPr>
                </pic:pic>
              </a:graphicData>
            </a:graphic>
          </wp:inline>
        </w:drawing>
      </w:r>
    </w:p>
    <w:p w14:paraId="577321DF"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76E74811" w14:textId="77777777" w:rsidR="00570879" w:rsidRPr="00570879" w:rsidRDefault="00570879" w:rsidP="00570879">
      <w:pPr>
        <w:autoSpaceDE w:val="0"/>
        <w:autoSpaceDN w:val="0"/>
        <w:adjustRightInd w:val="0"/>
        <w:jc w:val="both"/>
        <w:rPr>
          <w:rFonts w:eastAsia="Calibri" w:cs="Times New Roman"/>
          <w:iCs w:val="0"/>
          <w:szCs w:val="22"/>
          <w:lang w:val="es-MX" w:eastAsia="en-US"/>
        </w:rPr>
      </w:pPr>
    </w:p>
    <w:p w14:paraId="21C4AF23" w14:textId="77777777" w:rsidR="00570879" w:rsidRPr="00570879" w:rsidRDefault="00570879" w:rsidP="00570879">
      <w:pPr>
        <w:jc w:val="both"/>
        <w:rPr>
          <w:rFonts w:eastAsia="Calibri"/>
          <w:b/>
          <w:bCs/>
          <w:iCs w:val="0"/>
        </w:rPr>
      </w:pPr>
      <w:r w:rsidRPr="00570879">
        <w:rPr>
          <w:rFonts w:eastAsia="Calibri"/>
          <w:b/>
          <w:bCs/>
          <w:iCs w:val="0"/>
        </w:rPr>
        <w:t>Cuentas de orden presupuestario</w:t>
      </w:r>
    </w:p>
    <w:p w14:paraId="117F880B" w14:textId="77777777" w:rsidR="00570879" w:rsidRPr="00570879" w:rsidRDefault="00570879" w:rsidP="00570879">
      <w:pPr>
        <w:numPr>
          <w:ilvl w:val="1"/>
          <w:numId w:val="0"/>
        </w:numPr>
        <w:jc w:val="both"/>
        <w:rPr>
          <w:rFonts w:cs="Times New Roman"/>
          <w:b/>
          <w:iCs w:val="0"/>
          <w:color w:val="B09A5B"/>
          <w:szCs w:val="22"/>
          <w:lang w:val="es-MX" w:eastAsia="en-US"/>
        </w:rPr>
      </w:pPr>
    </w:p>
    <w:p w14:paraId="6492B58E" w14:textId="77777777" w:rsidR="00570879" w:rsidRPr="00570879" w:rsidRDefault="00570879" w:rsidP="00570879">
      <w:pPr>
        <w:jc w:val="both"/>
        <w:rPr>
          <w:rFonts w:eastAsia="Calibri"/>
          <w:b/>
          <w:bCs/>
          <w:iCs w:val="0"/>
        </w:rPr>
      </w:pPr>
      <w:r w:rsidRPr="00570879">
        <w:rPr>
          <w:rFonts w:eastAsia="Calibri"/>
          <w:b/>
          <w:bCs/>
          <w:iCs w:val="0"/>
        </w:rPr>
        <w:t>Cuentas de ingresos</w:t>
      </w:r>
    </w:p>
    <w:p w14:paraId="6B4C0530" w14:textId="77777777" w:rsidR="00570879" w:rsidRPr="00570879" w:rsidRDefault="00570879" w:rsidP="00570879">
      <w:pPr>
        <w:jc w:val="both"/>
        <w:rPr>
          <w:rFonts w:eastAsia="Calibri" w:cs="Times New Roman"/>
          <w:bCs/>
          <w:iCs w:val="0"/>
          <w:szCs w:val="22"/>
          <w:lang w:val="es-MX" w:eastAsia="en-US"/>
        </w:rPr>
      </w:pPr>
    </w:p>
    <w:p w14:paraId="5E700543"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Al inicio del ejercicio 2023, se aprobó un presupuesto de ingresos de 506.6 millones de pesos, para las Entidades Paraestatales Empresariales No Financieras con Participación Estatal Mayoritaria, sin embargo, las estrategias implementadas para obtener mayores recursos lograron un incremento de 107.9 millones de pesos, al presupuesto estimado para el periodo que se informa.</w:t>
      </w:r>
    </w:p>
    <w:p w14:paraId="0A86BAE1" w14:textId="77777777" w:rsidR="00570879" w:rsidRPr="00570879" w:rsidRDefault="00570879" w:rsidP="00570879">
      <w:pPr>
        <w:jc w:val="both"/>
        <w:outlineLvl w:val="0"/>
        <w:rPr>
          <w:rFonts w:eastAsia="Calibri" w:cs="Times New Roman"/>
          <w:iCs w:val="0"/>
          <w:szCs w:val="22"/>
          <w:lang w:val="es-MX" w:eastAsia="en-US"/>
        </w:rPr>
      </w:pPr>
    </w:p>
    <w:p w14:paraId="6DBBED8D"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Los ingresos recaudados durante el periodo del 1 de enero al 31 de diciembre de 2023 ascendieron a la cantidad de 606.1 millones de pesos, representando el 19.6 % mayor, respecto al programado para el periodo que se informa.</w:t>
      </w:r>
    </w:p>
    <w:p w14:paraId="5D9533AE" w14:textId="77777777" w:rsidR="00570879" w:rsidRPr="00570879" w:rsidRDefault="00570879" w:rsidP="00570879">
      <w:pPr>
        <w:jc w:val="both"/>
        <w:outlineLvl w:val="0"/>
        <w:rPr>
          <w:rFonts w:eastAsia="Calibri" w:cs="Times New Roman"/>
          <w:iCs w:val="0"/>
          <w:szCs w:val="22"/>
          <w:lang w:val="es-MX" w:eastAsia="en-US"/>
        </w:rPr>
      </w:pPr>
    </w:p>
    <w:p w14:paraId="3FEC84FC"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Los ingresos principales fueron derivados de la venta de bienes y prestación de servicios y otros Ingresos de las Entidades Paraestatales Empresariales No Financieras con Participación Estatal Mayoritaria por las actividades propias con 534.7 millones de pesos, el cual representó el 88.2 % del total de los ingresos recaudados, entre los rubros más sobresalientes.</w:t>
      </w:r>
    </w:p>
    <w:p w14:paraId="6FB68B2A" w14:textId="77777777" w:rsidR="00570879" w:rsidRPr="00570879" w:rsidRDefault="00570879" w:rsidP="00570879">
      <w:pPr>
        <w:jc w:val="both"/>
        <w:outlineLvl w:val="0"/>
        <w:rPr>
          <w:rFonts w:eastAsia="Calibri" w:cs="Times New Roman"/>
          <w:iCs w:val="0"/>
          <w:szCs w:val="22"/>
          <w:lang w:val="es-MX" w:eastAsia="en-US"/>
        </w:rPr>
      </w:pPr>
    </w:p>
    <w:p w14:paraId="4905BF5F"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A continuación, se presenta el estado analítico de ingresos presupuestario de acuerdo a la clasificación indicada en las notas de memoria de los estados financieros emitidos por el CONAC.</w:t>
      </w:r>
    </w:p>
    <w:p w14:paraId="7C8B75C0" w14:textId="77777777" w:rsidR="00570879" w:rsidRPr="00570879" w:rsidRDefault="00570879" w:rsidP="00570879">
      <w:pPr>
        <w:jc w:val="both"/>
        <w:outlineLvl w:val="0"/>
        <w:rPr>
          <w:rFonts w:eastAsia="Calibri" w:cs="Times New Roman"/>
          <w:iCs w:val="0"/>
          <w:szCs w:val="22"/>
          <w:lang w:val="es-MX" w:eastAsia="en-US"/>
        </w:rPr>
      </w:pPr>
    </w:p>
    <w:p w14:paraId="0D314994" w14:textId="41006353" w:rsidR="00570879" w:rsidRPr="00570879" w:rsidRDefault="003E69C9" w:rsidP="00570879">
      <w:pPr>
        <w:jc w:val="center"/>
        <w:rPr>
          <w:rFonts w:eastAsia="Calibri" w:cs="Times New Roman"/>
          <w:bCs/>
          <w:iCs w:val="0"/>
          <w:szCs w:val="22"/>
          <w:lang w:val="es-MX" w:eastAsia="en-US"/>
        </w:rPr>
      </w:pPr>
      <w:r w:rsidRPr="003E69C9">
        <w:rPr>
          <w:rFonts w:eastAsia="Calibri"/>
        </w:rPr>
        <w:drawing>
          <wp:inline distT="0" distB="0" distL="0" distR="0" wp14:anchorId="2A8C25F4" wp14:editId="609909E8">
            <wp:extent cx="6332400" cy="29889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2400" cy="2988965"/>
                    </a:xfrm>
                    <a:prstGeom prst="rect">
                      <a:avLst/>
                    </a:prstGeom>
                    <a:noFill/>
                    <a:ln>
                      <a:noFill/>
                    </a:ln>
                  </pic:spPr>
                </pic:pic>
              </a:graphicData>
            </a:graphic>
          </wp:inline>
        </w:drawing>
      </w:r>
    </w:p>
    <w:p w14:paraId="52AA093E" w14:textId="77777777" w:rsidR="00570879" w:rsidRPr="00570879" w:rsidRDefault="00570879" w:rsidP="00570879">
      <w:pPr>
        <w:jc w:val="both"/>
        <w:rPr>
          <w:rFonts w:eastAsia="Calibri"/>
          <w:b/>
          <w:bCs/>
          <w:iCs w:val="0"/>
        </w:rPr>
      </w:pPr>
      <w:r w:rsidRPr="00570879">
        <w:rPr>
          <w:rFonts w:eastAsia="Calibri"/>
          <w:b/>
          <w:bCs/>
          <w:iCs w:val="0"/>
        </w:rPr>
        <w:t>Cuentas de egresos</w:t>
      </w:r>
    </w:p>
    <w:p w14:paraId="60317A38" w14:textId="77777777" w:rsidR="00570879" w:rsidRPr="00570879" w:rsidRDefault="00570879" w:rsidP="00570879">
      <w:pPr>
        <w:jc w:val="both"/>
        <w:outlineLvl w:val="0"/>
        <w:rPr>
          <w:rFonts w:eastAsia="Calibri" w:cs="Times New Roman"/>
          <w:iCs w:val="0"/>
          <w:szCs w:val="22"/>
          <w:lang w:val="es-MX" w:eastAsia="en-US"/>
        </w:rPr>
      </w:pPr>
    </w:p>
    <w:p w14:paraId="652AA95B" w14:textId="77777777" w:rsidR="00570879" w:rsidRPr="00570879" w:rsidRDefault="00570879" w:rsidP="00570879">
      <w:pPr>
        <w:jc w:val="both"/>
        <w:outlineLvl w:val="0"/>
        <w:rPr>
          <w:rFonts w:eastAsia="Calibri" w:cs="Times New Roman"/>
          <w:b/>
          <w:bCs/>
          <w:iCs w:val="0"/>
          <w:szCs w:val="22"/>
          <w:lang w:val="es-MX" w:eastAsia="en-US"/>
        </w:rPr>
      </w:pPr>
      <w:r w:rsidRPr="00570879">
        <w:rPr>
          <w:rFonts w:eastAsia="Calibri" w:cs="Times New Roman"/>
          <w:iCs w:val="0"/>
          <w:szCs w:val="22"/>
          <w:lang w:val="es-MX" w:eastAsia="en-US"/>
        </w:rPr>
        <w:t>El estado del ejercicio del presupuesto de egresos, refleja al 31 de diciembre de 2023, un Presupuesto Aprobado Anual de 597.1 millones de pesos, al cierre del periodo que se informa.</w:t>
      </w:r>
    </w:p>
    <w:p w14:paraId="30B0014B" w14:textId="77777777" w:rsidR="00570879" w:rsidRPr="00570879" w:rsidRDefault="00570879" w:rsidP="00570879">
      <w:pPr>
        <w:jc w:val="both"/>
        <w:outlineLvl w:val="0"/>
        <w:rPr>
          <w:rFonts w:eastAsia="Calibri" w:cs="Times New Roman"/>
          <w:iCs w:val="0"/>
          <w:szCs w:val="22"/>
          <w:lang w:val="es-MX" w:eastAsia="en-US"/>
        </w:rPr>
      </w:pPr>
    </w:p>
    <w:p w14:paraId="6B2E7009" w14:textId="77777777" w:rsidR="00570879" w:rsidRPr="00570879" w:rsidRDefault="00570879" w:rsidP="00570879">
      <w:pPr>
        <w:jc w:val="both"/>
        <w:outlineLvl w:val="0"/>
        <w:rPr>
          <w:rFonts w:eastAsia="Calibri" w:cs="Times New Roman"/>
          <w:iCs w:val="0"/>
          <w:szCs w:val="22"/>
          <w:lang w:val="es-MX" w:eastAsia="en-US"/>
        </w:rPr>
      </w:pPr>
      <w:r w:rsidRPr="00570879">
        <w:rPr>
          <w:rFonts w:eastAsia="Calibri" w:cs="Times New Roman"/>
          <w:iCs w:val="0"/>
          <w:szCs w:val="22"/>
          <w:lang w:val="es-MX" w:eastAsia="en-US"/>
        </w:rPr>
        <w:t>El presupuesto devengado a la fecha que se informa fue de 473.1 millones de pesos; de los cuales se aplicaron 329.8 millones de pesos a servicios generales, equivalente al 69.7 % del devengado total; 60.5 millones de pesos a servicios personales, que equivale al 12.8 % del devengado total; así como 35.8 millones de pesos en inversión pública, mismos que equivalen al 7.6 % del devengado total; y además de 25.4 millones de pesos en bienes muebles, inmuebles e intangibles con un equivalente al 5.4% del devengado total y 20.2 millones de pesos en materiales y suministros, equivalente al 4.3 % del devengado total; entre los rubros más sobresalientes.</w:t>
      </w:r>
    </w:p>
    <w:p w14:paraId="6F8D08A5" w14:textId="77777777" w:rsidR="00570879" w:rsidRPr="00570879" w:rsidRDefault="00570879" w:rsidP="00570879">
      <w:pPr>
        <w:jc w:val="both"/>
        <w:outlineLvl w:val="0"/>
        <w:rPr>
          <w:rFonts w:eastAsia="Calibri" w:cs="Times New Roman"/>
          <w:iCs w:val="0"/>
          <w:szCs w:val="22"/>
          <w:lang w:val="es-MX" w:eastAsia="en-US"/>
        </w:rPr>
      </w:pPr>
    </w:p>
    <w:p w14:paraId="10919A0E" w14:textId="1CC2D232" w:rsidR="00570879" w:rsidRPr="00570879" w:rsidRDefault="003E69C9" w:rsidP="00570879">
      <w:pPr>
        <w:jc w:val="center"/>
        <w:outlineLvl w:val="0"/>
        <w:rPr>
          <w:rFonts w:eastAsia="Calibri" w:cs="Times New Roman"/>
          <w:b/>
          <w:bCs/>
          <w:iCs w:val="0"/>
          <w:szCs w:val="22"/>
          <w:lang w:val="es-MX" w:eastAsia="en-US"/>
        </w:rPr>
      </w:pPr>
      <w:bookmarkStart w:id="5" w:name="_GoBack"/>
      <w:r w:rsidRPr="003E69C9">
        <w:rPr>
          <w:rFonts w:eastAsia="Calibri"/>
        </w:rPr>
        <w:drawing>
          <wp:inline distT="0" distB="0" distL="0" distR="0" wp14:anchorId="0B9E6FDF" wp14:editId="1C7E75CF">
            <wp:extent cx="6332400" cy="262307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2400" cy="2623079"/>
                    </a:xfrm>
                    <a:prstGeom prst="rect">
                      <a:avLst/>
                    </a:prstGeom>
                    <a:noFill/>
                    <a:ln>
                      <a:noFill/>
                    </a:ln>
                  </pic:spPr>
                </pic:pic>
              </a:graphicData>
            </a:graphic>
          </wp:inline>
        </w:drawing>
      </w:r>
      <w:bookmarkEnd w:id="5"/>
    </w:p>
    <w:p w14:paraId="3CCFC528" w14:textId="77777777" w:rsidR="00570879" w:rsidRPr="00570879" w:rsidRDefault="00570879" w:rsidP="00570879">
      <w:pPr>
        <w:jc w:val="both"/>
        <w:outlineLvl w:val="0"/>
        <w:rPr>
          <w:rFonts w:eastAsia="Calibri" w:cs="Times New Roman"/>
          <w:b/>
          <w:bCs/>
          <w:iCs w:val="0"/>
          <w:szCs w:val="22"/>
          <w:lang w:val="es-MX" w:eastAsia="en-US"/>
        </w:rPr>
      </w:pPr>
    </w:p>
    <w:p w14:paraId="09CB609B" w14:textId="77777777" w:rsidR="00570879" w:rsidRPr="00570879" w:rsidRDefault="00570879" w:rsidP="00570879">
      <w:pPr>
        <w:jc w:val="both"/>
        <w:outlineLvl w:val="0"/>
        <w:rPr>
          <w:rFonts w:eastAsia="Calibri" w:cs="Times New Roman"/>
          <w:b/>
          <w:bCs/>
          <w:iCs w:val="0"/>
          <w:szCs w:val="22"/>
          <w:lang w:val="es-MX" w:eastAsia="en-US"/>
        </w:rPr>
      </w:pPr>
    </w:p>
    <w:p w14:paraId="7033D9C6" w14:textId="77777777" w:rsidR="008E37AA" w:rsidRDefault="008E37AA">
      <w:pPr>
        <w:rPr>
          <w:rFonts w:eastAsia="Calibri"/>
          <w:b/>
          <w:bCs/>
          <w:iCs w:val="0"/>
        </w:rPr>
      </w:pPr>
      <w:r>
        <w:rPr>
          <w:rFonts w:eastAsia="Calibri"/>
          <w:b/>
          <w:bCs/>
          <w:iCs w:val="0"/>
        </w:rPr>
        <w:br w:type="page"/>
      </w:r>
    </w:p>
    <w:p w14:paraId="46080642" w14:textId="1AEF7A4F" w:rsidR="00570879" w:rsidRPr="00570879" w:rsidRDefault="00570879" w:rsidP="00570879">
      <w:pPr>
        <w:jc w:val="both"/>
        <w:rPr>
          <w:rFonts w:eastAsia="Calibri"/>
          <w:b/>
          <w:bCs/>
          <w:iCs w:val="0"/>
        </w:rPr>
      </w:pPr>
      <w:r w:rsidRPr="00570879">
        <w:rPr>
          <w:rFonts w:eastAsia="Calibri"/>
          <w:b/>
          <w:bCs/>
          <w:iCs w:val="0"/>
        </w:rPr>
        <w:t>Razones financieras</w:t>
      </w:r>
    </w:p>
    <w:p w14:paraId="3CE4DABC" w14:textId="77777777" w:rsidR="00570879" w:rsidRPr="00570879" w:rsidRDefault="00570879" w:rsidP="00570879">
      <w:pPr>
        <w:tabs>
          <w:tab w:val="left" w:pos="6840"/>
        </w:tabs>
        <w:jc w:val="both"/>
        <w:outlineLvl w:val="0"/>
        <w:rPr>
          <w:rFonts w:eastAsia="Calibri" w:cs="Times New Roman"/>
          <w:iCs w:val="0"/>
          <w:szCs w:val="22"/>
          <w:lang w:val="es-MX" w:eastAsia="en-US"/>
        </w:rPr>
      </w:pPr>
    </w:p>
    <w:p w14:paraId="32A82016"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r w:rsidRPr="00570879">
        <w:rPr>
          <w:rFonts w:eastAsia="Calibri" w:cs="Times New Roman"/>
          <w:iCs w:val="0"/>
          <w:szCs w:val="22"/>
          <w:lang w:val="es-MX" w:eastAsia="en-U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31 de diciembre del ejercicio 2023, se aplicaron las siguientes razones financieras:</w:t>
      </w:r>
    </w:p>
    <w:p w14:paraId="76E3B1E6" w14:textId="77777777" w:rsidR="00570879" w:rsidRPr="00570879" w:rsidRDefault="00570879" w:rsidP="00570879">
      <w:pPr>
        <w:autoSpaceDE w:val="0"/>
        <w:autoSpaceDN w:val="0"/>
        <w:adjustRightInd w:val="0"/>
        <w:jc w:val="both"/>
        <w:outlineLvl w:val="0"/>
        <w:rPr>
          <w:rFonts w:eastAsia="Calibri" w:cs="Times New Roman"/>
          <w:bCs/>
          <w:iCs w:val="0"/>
          <w:szCs w:val="22"/>
          <w:lang w:val="es-MX" w:eastAsia="en-US"/>
        </w:rPr>
      </w:pPr>
    </w:p>
    <w:p w14:paraId="182CB074" w14:textId="77777777" w:rsidR="00570879" w:rsidRPr="00570879" w:rsidRDefault="00570879" w:rsidP="00570879">
      <w:pPr>
        <w:autoSpaceDE w:val="0"/>
        <w:autoSpaceDN w:val="0"/>
        <w:adjustRightInd w:val="0"/>
        <w:jc w:val="center"/>
        <w:outlineLvl w:val="0"/>
        <w:rPr>
          <w:rFonts w:eastAsia="Calibri" w:cs="Times New Roman"/>
          <w:b/>
          <w:bCs/>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226B8CDE" wp14:editId="1307EA4E">
            <wp:extent cx="6331585" cy="2380720"/>
            <wp:effectExtent l="0" t="0" r="0" b="635"/>
            <wp:docPr id="1252036168" name="Imagen 125203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2380720"/>
                    </a:xfrm>
                    <a:prstGeom prst="rect">
                      <a:avLst/>
                    </a:prstGeom>
                    <a:noFill/>
                    <a:ln>
                      <a:noFill/>
                    </a:ln>
                  </pic:spPr>
                </pic:pic>
              </a:graphicData>
            </a:graphic>
          </wp:inline>
        </w:drawing>
      </w:r>
    </w:p>
    <w:p w14:paraId="057A1B33" w14:textId="77777777" w:rsidR="00570879" w:rsidRPr="00570879" w:rsidRDefault="00570879" w:rsidP="00570879">
      <w:pPr>
        <w:autoSpaceDE w:val="0"/>
        <w:autoSpaceDN w:val="0"/>
        <w:adjustRightInd w:val="0"/>
        <w:jc w:val="both"/>
        <w:outlineLvl w:val="0"/>
        <w:rPr>
          <w:rFonts w:eastAsia="Calibri" w:cs="Times New Roman"/>
          <w:bCs/>
          <w:iCs w:val="0"/>
          <w:szCs w:val="22"/>
          <w:lang w:val="es-MX" w:eastAsia="en-US"/>
        </w:rPr>
      </w:pPr>
    </w:p>
    <w:p w14:paraId="38722AD3" w14:textId="77777777" w:rsidR="00570879" w:rsidRPr="00570879" w:rsidRDefault="00570879" w:rsidP="00570879">
      <w:pPr>
        <w:autoSpaceDE w:val="0"/>
        <w:autoSpaceDN w:val="0"/>
        <w:adjustRightInd w:val="0"/>
        <w:jc w:val="both"/>
        <w:outlineLvl w:val="0"/>
        <w:rPr>
          <w:rFonts w:eastAsia="Calibri" w:cs="Times New Roman"/>
          <w:bCs/>
          <w:iCs w:val="0"/>
          <w:szCs w:val="22"/>
          <w:lang w:val="es-MX" w:eastAsia="en-US"/>
        </w:rPr>
      </w:pPr>
    </w:p>
    <w:p w14:paraId="0EE1BC71"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r w:rsidRPr="00570879">
        <w:rPr>
          <w:rFonts w:eastAsia="Calibri" w:cs="Times New Roman"/>
          <w:iCs w:val="0"/>
          <w:szCs w:val="22"/>
          <w:lang w:val="es-MX" w:eastAsia="en-US"/>
        </w:rPr>
        <w:t xml:space="preserve">Los Estados Financieros muestran un resultado de 2.6 pesos de </w:t>
      </w:r>
      <w:r w:rsidRPr="00570879">
        <w:rPr>
          <w:rFonts w:eastAsia="Calibri" w:cs="Times New Roman"/>
          <w:b/>
          <w:iCs w:val="0"/>
          <w:szCs w:val="22"/>
          <w:lang w:val="es-MX" w:eastAsia="en-US"/>
        </w:rPr>
        <w:t>liquidez y disponibilidad inmediata</w:t>
      </w:r>
      <w:r w:rsidRPr="00570879">
        <w:rPr>
          <w:rFonts w:eastAsia="Calibri" w:cs="Times New Roman"/>
          <w:iCs w:val="0"/>
          <w:szCs w:val="22"/>
          <w:lang w:val="es-MX" w:eastAsia="en-US"/>
        </w:rPr>
        <w:t xml:space="preserve"> para hacer frente a cada peso de los compromisos a corto plazo. </w:t>
      </w:r>
    </w:p>
    <w:p w14:paraId="05070216"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p>
    <w:p w14:paraId="78E7C0F5"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r w:rsidRPr="00570879">
        <w:rPr>
          <w:rFonts w:eastAsia="Calibri" w:cs="Times New Roman"/>
          <w:iCs w:val="0"/>
          <w:szCs w:val="22"/>
          <w:lang w:val="es-MX" w:eastAsia="en-US"/>
        </w:rPr>
        <w:t xml:space="preserve">La razón de </w:t>
      </w:r>
      <w:r w:rsidRPr="00570879">
        <w:rPr>
          <w:rFonts w:eastAsia="Calibri" w:cs="Times New Roman"/>
          <w:b/>
          <w:iCs w:val="0"/>
          <w:szCs w:val="22"/>
          <w:lang w:val="es-MX" w:eastAsia="en-US"/>
        </w:rPr>
        <w:t>solvencia</w:t>
      </w:r>
      <w:r w:rsidRPr="00570879">
        <w:rPr>
          <w:rFonts w:eastAsia="Calibri" w:cs="Times New Roman"/>
          <w:iCs w:val="0"/>
          <w:szCs w:val="22"/>
          <w:lang w:val="es-MX" w:eastAsia="en-US"/>
        </w:rPr>
        <w:t xml:space="preserve"> muestra que las entidades cuentan con 3.1 pesos para cubrir cada peso que debe por sus compromisos a corto plazo. </w:t>
      </w:r>
    </w:p>
    <w:p w14:paraId="6DE27555"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p>
    <w:p w14:paraId="23BC2150"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r w:rsidRPr="00570879">
        <w:rPr>
          <w:rFonts w:eastAsia="Calibri" w:cs="Times New Roman"/>
          <w:iCs w:val="0"/>
          <w:szCs w:val="22"/>
          <w:lang w:val="es-MX" w:eastAsia="en-US"/>
        </w:rPr>
        <w:t>La</w:t>
      </w:r>
      <w:r w:rsidRPr="00570879">
        <w:rPr>
          <w:rFonts w:eastAsia="Calibri" w:cs="Times New Roman"/>
          <w:b/>
          <w:iCs w:val="0"/>
          <w:szCs w:val="22"/>
          <w:lang w:val="es-MX" w:eastAsia="en-US"/>
        </w:rPr>
        <w:t xml:space="preserve"> prueba del ácido</w:t>
      </w:r>
      <w:r w:rsidRPr="00570879">
        <w:rPr>
          <w:rFonts w:eastAsia="Calibri" w:cs="Times New Roman"/>
          <w:iCs w:val="0"/>
          <w:szCs w:val="22"/>
          <w:lang w:val="es-MX" w:eastAsia="en-US"/>
        </w:rPr>
        <w:t xml:space="preserve"> indica que las entidades cuentan con 3.1 pesos de activos de conversión inmediata en efectivo por cada peso de pasivos a corto plazo. </w:t>
      </w:r>
    </w:p>
    <w:p w14:paraId="0356AF0A"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p>
    <w:p w14:paraId="2F85D638"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r w:rsidRPr="00570879">
        <w:rPr>
          <w:rFonts w:eastAsia="Calibri" w:cs="Times New Roman"/>
          <w:iCs w:val="0"/>
          <w:szCs w:val="22"/>
          <w:lang w:val="es-MX" w:eastAsia="en-US"/>
        </w:rPr>
        <w:t>La posición financiera que guardan las Entidades Paraestatales Empresariales No Financieras con Participación Estatal Mayoritaria muestra los ingresos y egresos al 31 de diciembre del ejercicio 2023, toda vez que los saldos de los pasivos se han mantenido en niveles saludables y en equilibrio con los ingresos.</w:t>
      </w:r>
    </w:p>
    <w:p w14:paraId="3C77F60A" w14:textId="77777777" w:rsidR="00570879" w:rsidRPr="00570879" w:rsidRDefault="00570879" w:rsidP="00570879">
      <w:pPr>
        <w:autoSpaceDE w:val="0"/>
        <w:autoSpaceDN w:val="0"/>
        <w:adjustRightInd w:val="0"/>
        <w:jc w:val="both"/>
        <w:outlineLvl w:val="0"/>
        <w:rPr>
          <w:rFonts w:eastAsia="Calibri" w:cs="Times New Roman"/>
          <w:iCs w:val="0"/>
          <w:szCs w:val="22"/>
          <w:lang w:val="es-MX" w:eastAsia="en-US"/>
        </w:rPr>
      </w:pPr>
    </w:p>
    <w:p w14:paraId="6126B359" w14:textId="77777777" w:rsidR="00570879" w:rsidRPr="00570879" w:rsidRDefault="00570879" w:rsidP="00570879">
      <w:pPr>
        <w:jc w:val="both"/>
        <w:rPr>
          <w:rFonts w:eastAsia="Calibri" w:cs="Times New Roman"/>
          <w:iCs w:val="0"/>
          <w:szCs w:val="22"/>
          <w:lang w:val="es-MX" w:eastAsia="en-US"/>
        </w:rPr>
      </w:pPr>
      <w:r w:rsidRPr="00570879">
        <w:rPr>
          <w:rFonts w:eastAsia="Calibri" w:cs="Times New Roman"/>
          <w:iCs w:val="0"/>
          <w:szCs w:val="22"/>
          <w:lang w:val="es-MX" w:eastAsia="en-US"/>
        </w:rPr>
        <w:br w:type="page"/>
      </w:r>
    </w:p>
    <w:p w14:paraId="24BB55BE" w14:textId="77777777" w:rsidR="00570879" w:rsidRPr="00570879" w:rsidRDefault="00570879" w:rsidP="00570879">
      <w:pPr>
        <w:keepNext/>
        <w:keepLines/>
        <w:jc w:val="both"/>
        <w:outlineLvl w:val="0"/>
        <w:rPr>
          <w:rFonts w:cs="Times New Roman"/>
          <w:b/>
          <w:iCs w:val="0"/>
          <w:color w:val="9E213D"/>
          <w:sz w:val="28"/>
          <w:szCs w:val="32"/>
        </w:rPr>
      </w:pPr>
      <w:r w:rsidRPr="00570879">
        <w:rPr>
          <w:rFonts w:cs="Times New Roman"/>
          <w:b/>
          <w:iCs w:val="0"/>
          <w:color w:val="9E213D"/>
          <w:sz w:val="28"/>
          <w:szCs w:val="32"/>
        </w:rPr>
        <w:t>Reporte analítico del activo no circulante</w:t>
      </w:r>
    </w:p>
    <w:p w14:paraId="41D52FE4" w14:textId="77777777" w:rsidR="00570879" w:rsidRPr="00570879" w:rsidRDefault="00570879" w:rsidP="00570879">
      <w:pPr>
        <w:widowControl w:val="0"/>
        <w:jc w:val="both"/>
        <w:rPr>
          <w:rFonts w:eastAsia="Calibri" w:cs="Times New Roman"/>
          <w:iCs w:val="0"/>
          <w:szCs w:val="22"/>
          <w:lang w:val="es-MX" w:eastAsia="en-US"/>
        </w:rPr>
      </w:pPr>
    </w:p>
    <w:p w14:paraId="2A9B1DD0" w14:textId="77777777" w:rsidR="00570879" w:rsidRPr="00570879" w:rsidRDefault="00570879" w:rsidP="00570879">
      <w:pPr>
        <w:widowControl w:val="0"/>
        <w:jc w:val="both"/>
        <w:rPr>
          <w:rFonts w:eastAsia="Calibri" w:cs="Times New Roman"/>
          <w:iCs w:val="0"/>
          <w:szCs w:val="22"/>
          <w:lang w:val="es-MX" w:eastAsia="en-US"/>
        </w:rPr>
      </w:pPr>
      <w:r w:rsidRPr="00570879">
        <w:rPr>
          <w:rFonts w:eastAsia="Calibri" w:cs="Times New Roman"/>
          <w:iCs w:val="0"/>
          <w:szCs w:val="22"/>
          <w:lang w:val="es-MX" w:eastAsia="en-US"/>
        </w:rPr>
        <w:t>A continuación, se presentan los saldos por tipo de activo no circulante registrado en los estados financieros consolidados de las Entidades Paraestatales Empresariales No Financieras con Participación Estatal Mayoritaria, al 31 de diciembre de 2023. Este reporte muestra el total de las adquisiciones que cada uno de los entes públicos integran su patrimonio.</w:t>
      </w:r>
    </w:p>
    <w:p w14:paraId="1BD38231" w14:textId="77777777" w:rsidR="00570879" w:rsidRPr="00570879" w:rsidRDefault="00570879" w:rsidP="00570879">
      <w:pPr>
        <w:widowControl w:val="0"/>
        <w:jc w:val="both"/>
        <w:rPr>
          <w:rFonts w:eastAsia="Calibri" w:cs="Times New Roman"/>
          <w:iCs w:val="0"/>
          <w:szCs w:val="22"/>
          <w:lang w:val="es-MX" w:eastAsia="en-US"/>
        </w:rPr>
      </w:pPr>
    </w:p>
    <w:p w14:paraId="1C364C2C" w14:textId="77777777" w:rsidR="00570879" w:rsidRPr="00570879" w:rsidRDefault="00570879" w:rsidP="00570879">
      <w:pPr>
        <w:widowControl w:val="0"/>
        <w:jc w:val="center"/>
        <w:rPr>
          <w:rFonts w:eastAsia="Calibri" w:cs="Times New Roman"/>
          <w:iCs w:val="0"/>
          <w:szCs w:val="22"/>
          <w:lang w:val="es-MX" w:eastAsia="en-US"/>
        </w:rPr>
      </w:pPr>
      <w:r w:rsidRPr="00570879">
        <w:rPr>
          <w:rFonts w:ascii="Calibri" w:eastAsia="Calibri" w:hAnsi="Calibri" w:cs="Times New Roman"/>
          <w:iCs w:val="0"/>
          <w:noProof/>
          <w:sz w:val="22"/>
          <w:szCs w:val="22"/>
          <w:lang w:val="es-MX" w:eastAsia="es-MX"/>
        </w:rPr>
        <w:drawing>
          <wp:inline distT="0" distB="0" distL="0" distR="0" wp14:anchorId="31B47B05" wp14:editId="73E029A2">
            <wp:extent cx="6331585" cy="1812685"/>
            <wp:effectExtent l="0" t="0" r="0" b="0"/>
            <wp:docPr id="1252036169" name="Imagen 125203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812685"/>
                    </a:xfrm>
                    <a:prstGeom prst="rect">
                      <a:avLst/>
                    </a:prstGeom>
                    <a:noFill/>
                    <a:ln>
                      <a:noFill/>
                    </a:ln>
                  </pic:spPr>
                </pic:pic>
              </a:graphicData>
            </a:graphic>
          </wp:inline>
        </w:drawing>
      </w:r>
    </w:p>
    <w:p w14:paraId="6A14FA91" w14:textId="77777777" w:rsidR="00570879" w:rsidRPr="00570879" w:rsidRDefault="00570879" w:rsidP="00570879">
      <w:pPr>
        <w:jc w:val="both"/>
        <w:rPr>
          <w:rFonts w:eastAsia="Calibri" w:cs="Times New Roman"/>
          <w:iCs w:val="0"/>
          <w:noProof/>
          <w:szCs w:val="22"/>
          <w:lang w:val="es-MX" w:eastAsia="es-MX"/>
        </w:rPr>
      </w:pPr>
    </w:p>
    <w:p w14:paraId="41DD6A90" w14:textId="77777777" w:rsidR="00570879" w:rsidRPr="00570879" w:rsidRDefault="00570879" w:rsidP="00570879">
      <w:pPr>
        <w:jc w:val="both"/>
        <w:rPr>
          <w:rFonts w:eastAsia="Calibri" w:cs="Times New Roman"/>
          <w:iCs w:val="0"/>
          <w:noProof/>
          <w:szCs w:val="22"/>
          <w:lang w:val="es-MX" w:eastAsia="es-MX"/>
        </w:rPr>
      </w:pPr>
    </w:p>
    <w:p w14:paraId="664DE0A4" w14:textId="77777777" w:rsidR="00570879" w:rsidRPr="00570879" w:rsidRDefault="00570879" w:rsidP="00570879">
      <w:pPr>
        <w:jc w:val="both"/>
        <w:rPr>
          <w:rFonts w:eastAsia="Calibri" w:cs="Times New Roman"/>
          <w:iCs w:val="0"/>
          <w:noProof/>
          <w:szCs w:val="22"/>
          <w:lang w:val="es-MX" w:eastAsia="es-MX"/>
        </w:rPr>
      </w:pPr>
    </w:p>
    <w:p w14:paraId="54AFD49C" w14:textId="77777777" w:rsidR="00570879" w:rsidRPr="00570879" w:rsidRDefault="00570879" w:rsidP="00570879">
      <w:pPr>
        <w:jc w:val="center"/>
        <w:rPr>
          <w:rFonts w:eastAsia="Calibri" w:cs="Times New Roman"/>
          <w:iCs w:val="0"/>
          <w:noProof/>
          <w:szCs w:val="22"/>
          <w:lang w:val="es-MX" w:eastAsia="es-MX"/>
        </w:rPr>
      </w:pPr>
      <w:r w:rsidRPr="00570879">
        <w:rPr>
          <w:rFonts w:ascii="Calibri" w:eastAsia="Calibri" w:hAnsi="Calibri" w:cs="Times New Roman"/>
          <w:iCs w:val="0"/>
          <w:noProof/>
          <w:sz w:val="22"/>
          <w:szCs w:val="22"/>
          <w:lang w:val="es-MX" w:eastAsia="es-MX"/>
        </w:rPr>
        <w:drawing>
          <wp:inline distT="0" distB="0" distL="0" distR="0" wp14:anchorId="79AA1C3E" wp14:editId="0E0A620D">
            <wp:extent cx="6331585" cy="1722057"/>
            <wp:effectExtent l="0" t="0" r="0" b="0"/>
            <wp:docPr id="1252036170" name="Imagen 125203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722057"/>
                    </a:xfrm>
                    <a:prstGeom prst="rect">
                      <a:avLst/>
                    </a:prstGeom>
                    <a:noFill/>
                    <a:ln>
                      <a:noFill/>
                    </a:ln>
                  </pic:spPr>
                </pic:pic>
              </a:graphicData>
            </a:graphic>
          </wp:inline>
        </w:drawing>
      </w:r>
    </w:p>
    <w:p w14:paraId="787C4720" w14:textId="77777777" w:rsidR="00570879" w:rsidRPr="00570879" w:rsidRDefault="00570879" w:rsidP="00570879">
      <w:pPr>
        <w:jc w:val="both"/>
        <w:rPr>
          <w:rFonts w:eastAsia="Calibri" w:cs="Times New Roman"/>
          <w:iCs w:val="0"/>
          <w:noProof/>
          <w:szCs w:val="22"/>
          <w:lang w:val="es-MX" w:eastAsia="es-MX"/>
        </w:rPr>
      </w:pPr>
    </w:p>
    <w:p w14:paraId="52C18A63" w14:textId="77777777" w:rsidR="00570879" w:rsidRPr="00570879" w:rsidRDefault="00570879" w:rsidP="00570879">
      <w:pPr>
        <w:jc w:val="both"/>
        <w:rPr>
          <w:rFonts w:eastAsia="Calibri" w:cs="Times New Roman"/>
          <w:iCs w:val="0"/>
          <w:noProof/>
          <w:szCs w:val="22"/>
          <w:lang w:val="es-MX" w:eastAsia="es-MX"/>
        </w:rPr>
      </w:pPr>
    </w:p>
    <w:p w14:paraId="65E6EA3A" w14:textId="77777777" w:rsidR="00570879" w:rsidRPr="00570879" w:rsidRDefault="00570879" w:rsidP="00570879">
      <w:pPr>
        <w:jc w:val="both"/>
        <w:rPr>
          <w:rFonts w:eastAsia="Calibri" w:cs="Times New Roman"/>
          <w:iCs w:val="0"/>
          <w:noProof/>
          <w:szCs w:val="22"/>
          <w:lang w:val="es-MX" w:eastAsia="es-MX"/>
        </w:rPr>
      </w:pPr>
    </w:p>
    <w:p w14:paraId="66B4B358" w14:textId="77777777" w:rsidR="00570879" w:rsidRPr="00570879" w:rsidRDefault="00570879" w:rsidP="00570879">
      <w:pPr>
        <w:jc w:val="center"/>
        <w:rPr>
          <w:rFonts w:eastAsia="Calibri" w:cs="Times New Roman"/>
          <w:iCs w:val="0"/>
          <w:noProof/>
          <w:szCs w:val="22"/>
          <w:lang w:val="es-MX" w:eastAsia="es-MX"/>
        </w:rPr>
      </w:pPr>
      <w:r w:rsidRPr="00570879">
        <w:rPr>
          <w:rFonts w:ascii="Calibri" w:eastAsia="Calibri" w:hAnsi="Calibri" w:cs="Times New Roman"/>
          <w:iCs w:val="0"/>
          <w:noProof/>
          <w:sz w:val="22"/>
          <w:szCs w:val="22"/>
          <w:lang w:val="es-MX" w:eastAsia="es-MX"/>
        </w:rPr>
        <w:drawing>
          <wp:inline distT="0" distB="0" distL="0" distR="0" wp14:anchorId="3F603303" wp14:editId="6891CCF5">
            <wp:extent cx="6331585" cy="2011615"/>
            <wp:effectExtent l="0" t="0" r="0" b="0"/>
            <wp:docPr id="1252036171" name="Imagen 125203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2011615"/>
                    </a:xfrm>
                    <a:prstGeom prst="rect">
                      <a:avLst/>
                    </a:prstGeom>
                    <a:noFill/>
                    <a:ln>
                      <a:noFill/>
                    </a:ln>
                  </pic:spPr>
                </pic:pic>
              </a:graphicData>
            </a:graphic>
          </wp:inline>
        </w:drawing>
      </w:r>
    </w:p>
    <w:p w14:paraId="3D5135F9" w14:textId="77777777" w:rsidR="00570879" w:rsidRPr="00570879" w:rsidRDefault="00570879" w:rsidP="00570879">
      <w:pPr>
        <w:jc w:val="both"/>
        <w:rPr>
          <w:rFonts w:eastAsia="Calibri" w:cs="Times New Roman"/>
          <w:iCs w:val="0"/>
          <w:noProof/>
          <w:szCs w:val="22"/>
          <w:lang w:val="es-MX" w:eastAsia="es-MX"/>
        </w:rPr>
      </w:pPr>
    </w:p>
    <w:p w14:paraId="6F9066B9" w14:textId="77777777" w:rsidR="00570879" w:rsidRPr="00570879" w:rsidRDefault="00570879" w:rsidP="00570879">
      <w:pPr>
        <w:jc w:val="both"/>
        <w:rPr>
          <w:rFonts w:eastAsia="Calibri" w:cs="Times New Roman"/>
          <w:iCs w:val="0"/>
          <w:noProof/>
          <w:szCs w:val="22"/>
          <w:lang w:val="es-MX" w:eastAsia="es-MX"/>
        </w:rPr>
      </w:pPr>
    </w:p>
    <w:p w14:paraId="11C1BC2C" w14:textId="77777777" w:rsidR="00570879" w:rsidRPr="00570879" w:rsidRDefault="00570879" w:rsidP="00570879">
      <w:pPr>
        <w:jc w:val="both"/>
        <w:rPr>
          <w:rFonts w:eastAsia="Calibri" w:cs="Times New Roman"/>
          <w:iCs w:val="0"/>
          <w:noProof/>
          <w:szCs w:val="22"/>
          <w:lang w:val="es-MX" w:eastAsia="es-MX"/>
        </w:rPr>
      </w:pPr>
    </w:p>
    <w:p w14:paraId="505CAC4A" w14:textId="174C319D" w:rsidR="00570879" w:rsidRPr="00570879" w:rsidRDefault="00570879" w:rsidP="00570879">
      <w:pPr>
        <w:jc w:val="center"/>
        <w:rPr>
          <w:rFonts w:eastAsia="Calibri" w:cs="Times New Roman"/>
          <w:iCs w:val="0"/>
          <w:noProof/>
          <w:szCs w:val="22"/>
          <w:lang w:val="es-MX" w:eastAsia="es-MX"/>
        </w:rPr>
      </w:pPr>
      <w:r w:rsidRPr="00570879">
        <w:rPr>
          <w:rFonts w:ascii="Calibri" w:eastAsia="Calibri" w:hAnsi="Calibri" w:cs="Times New Roman"/>
          <w:iCs w:val="0"/>
          <w:noProof/>
          <w:sz w:val="22"/>
          <w:szCs w:val="22"/>
          <w:lang w:val="es-MX" w:eastAsia="es-MX"/>
        </w:rPr>
        <w:drawing>
          <wp:inline distT="0" distB="0" distL="0" distR="0" wp14:anchorId="3C70CF29" wp14:editId="4EC830E9">
            <wp:extent cx="6331585" cy="1867790"/>
            <wp:effectExtent l="0" t="0" r="0" b="0"/>
            <wp:docPr id="1252036187" name="Imagen 125203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1867790"/>
                    </a:xfrm>
                    <a:prstGeom prst="rect">
                      <a:avLst/>
                    </a:prstGeom>
                    <a:noFill/>
                    <a:ln>
                      <a:noFill/>
                    </a:ln>
                  </pic:spPr>
                </pic:pic>
              </a:graphicData>
            </a:graphic>
          </wp:inline>
        </w:drawing>
      </w:r>
    </w:p>
    <w:p w14:paraId="0E4A7797" w14:textId="77777777" w:rsidR="00570879" w:rsidRPr="00570879" w:rsidRDefault="00570879" w:rsidP="00570879">
      <w:pPr>
        <w:jc w:val="both"/>
        <w:rPr>
          <w:rFonts w:eastAsia="Calibri" w:cs="Times New Roman"/>
          <w:iCs w:val="0"/>
          <w:noProof/>
          <w:szCs w:val="22"/>
          <w:lang w:val="es-MX" w:eastAsia="es-MX"/>
        </w:rPr>
      </w:pPr>
    </w:p>
    <w:p w14:paraId="59DA9420" w14:textId="77777777" w:rsidR="00570879" w:rsidRPr="00570879" w:rsidRDefault="00570879" w:rsidP="00570879">
      <w:pPr>
        <w:jc w:val="both"/>
        <w:rPr>
          <w:rFonts w:eastAsia="Calibri" w:cs="Times New Roman"/>
          <w:iCs w:val="0"/>
          <w:noProof/>
          <w:szCs w:val="22"/>
          <w:lang w:val="es-MX" w:eastAsia="es-MX"/>
        </w:rPr>
      </w:pPr>
    </w:p>
    <w:p w14:paraId="31717946" w14:textId="77777777" w:rsidR="00570879" w:rsidRPr="00570879" w:rsidRDefault="00570879" w:rsidP="00570879">
      <w:pPr>
        <w:jc w:val="both"/>
        <w:rPr>
          <w:rFonts w:eastAsia="Calibri" w:cs="Times New Roman"/>
          <w:iCs w:val="0"/>
          <w:noProof/>
          <w:szCs w:val="22"/>
          <w:lang w:val="es-MX" w:eastAsia="es-MX"/>
        </w:rPr>
      </w:pPr>
    </w:p>
    <w:p w14:paraId="6946509D" w14:textId="77777777" w:rsidR="00570879" w:rsidRPr="00570879" w:rsidRDefault="00570879" w:rsidP="00570879">
      <w:pPr>
        <w:jc w:val="center"/>
        <w:rPr>
          <w:rFonts w:eastAsia="Calibri" w:cs="Times New Roman"/>
          <w:iCs w:val="0"/>
          <w:noProof/>
          <w:szCs w:val="22"/>
          <w:lang w:val="es-MX" w:eastAsia="es-MX"/>
        </w:rPr>
      </w:pPr>
      <w:r w:rsidRPr="00570879">
        <w:rPr>
          <w:rFonts w:ascii="Calibri" w:eastAsia="Calibri" w:hAnsi="Calibri" w:cs="Times New Roman"/>
          <w:iCs w:val="0"/>
          <w:noProof/>
          <w:sz w:val="22"/>
          <w:szCs w:val="22"/>
          <w:lang w:val="es-MX" w:eastAsia="es-MX"/>
        </w:rPr>
        <w:drawing>
          <wp:inline distT="0" distB="0" distL="0" distR="0" wp14:anchorId="71092C63" wp14:editId="07F8D8B1">
            <wp:extent cx="6331585" cy="2088604"/>
            <wp:effectExtent l="0" t="0" r="0" b="0"/>
            <wp:docPr id="1252036188" name="Imagen 1252036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1585" cy="2088604"/>
                    </a:xfrm>
                    <a:prstGeom prst="rect">
                      <a:avLst/>
                    </a:prstGeom>
                    <a:noFill/>
                    <a:ln>
                      <a:noFill/>
                    </a:ln>
                  </pic:spPr>
                </pic:pic>
              </a:graphicData>
            </a:graphic>
          </wp:inline>
        </w:drawing>
      </w:r>
    </w:p>
    <w:p w14:paraId="498F7D3D" w14:textId="77777777" w:rsidR="00570879" w:rsidRPr="00570879" w:rsidRDefault="00570879" w:rsidP="00570879">
      <w:pPr>
        <w:jc w:val="both"/>
        <w:rPr>
          <w:rFonts w:eastAsia="Calibri" w:cs="Times New Roman"/>
          <w:iCs w:val="0"/>
          <w:noProof/>
          <w:szCs w:val="22"/>
          <w:lang w:val="es-MX" w:eastAsia="es-MX"/>
        </w:rPr>
      </w:pPr>
    </w:p>
    <w:p w14:paraId="20C45DB6" w14:textId="77777777" w:rsidR="00570879" w:rsidRPr="00570879" w:rsidRDefault="00570879" w:rsidP="00570879">
      <w:pPr>
        <w:jc w:val="both"/>
        <w:rPr>
          <w:rFonts w:eastAsia="Calibri" w:cs="Times New Roman"/>
          <w:iCs w:val="0"/>
          <w:noProof/>
          <w:szCs w:val="22"/>
          <w:lang w:val="es-MX" w:eastAsia="es-MX"/>
        </w:rPr>
      </w:pPr>
    </w:p>
    <w:p w14:paraId="284BCCB6" w14:textId="77777777" w:rsidR="00570879" w:rsidRPr="00570879" w:rsidRDefault="00570879" w:rsidP="00570879">
      <w:pPr>
        <w:jc w:val="both"/>
        <w:rPr>
          <w:rFonts w:eastAsia="Calibri" w:cs="Times New Roman"/>
          <w:iCs w:val="0"/>
          <w:noProof/>
          <w:szCs w:val="22"/>
          <w:lang w:val="es-MX" w:eastAsia="es-MX"/>
        </w:rPr>
      </w:pPr>
    </w:p>
    <w:p w14:paraId="7EF9216E" w14:textId="77777777" w:rsidR="00570879" w:rsidRPr="00570879" w:rsidRDefault="00570879" w:rsidP="00570879">
      <w:pPr>
        <w:jc w:val="center"/>
        <w:rPr>
          <w:rFonts w:eastAsia="Calibri" w:cs="Times New Roman"/>
          <w:iCs w:val="0"/>
          <w:noProof/>
          <w:szCs w:val="22"/>
          <w:lang w:val="es-MX" w:eastAsia="es-MX"/>
        </w:rPr>
      </w:pPr>
      <w:r w:rsidRPr="00570879">
        <w:rPr>
          <w:rFonts w:ascii="Calibri" w:eastAsia="Calibri" w:hAnsi="Calibri" w:cs="Times New Roman"/>
          <w:iCs w:val="0"/>
          <w:noProof/>
          <w:sz w:val="22"/>
          <w:szCs w:val="22"/>
          <w:lang w:val="es-MX" w:eastAsia="en-US"/>
        </w:rPr>
        <w:drawing>
          <wp:inline distT="0" distB="0" distL="0" distR="0" wp14:anchorId="709DA230" wp14:editId="6A640BDD">
            <wp:extent cx="6331585" cy="20614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2061480"/>
                    </a:xfrm>
                    <a:prstGeom prst="rect">
                      <a:avLst/>
                    </a:prstGeom>
                    <a:noFill/>
                    <a:ln>
                      <a:noFill/>
                    </a:ln>
                  </pic:spPr>
                </pic:pic>
              </a:graphicData>
            </a:graphic>
          </wp:inline>
        </w:drawing>
      </w:r>
    </w:p>
    <w:p w14:paraId="36846575" w14:textId="77777777" w:rsidR="00570879" w:rsidRPr="00570879" w:rsidRDefault="00570879" w:rsidP="00570879">
      <w:pPr>
        <w:jc w:val="center"/>
        <w:rPr>
          <w:rFonts w:eastAsia="Calibri" w:cs="Times New Roman"/>
          <w:iCs w:val="0"/>
          <w:noProof/>
          <w:szCs w:val="22"/>
          <w:lang w:val="es-MX" w:eastAsia="es-MX"/>
        </w:rPr>
      </w:pPr>
    </w:p>
    <w:p w14:paraId="103513F2" w14:textId="77777777" w:rsidR="00570879" w:rsidRPr="00570879" w:rsidRDefault="00570879" w:rsidP="00570879">
      <w:pPr>
        <w:jc w:val="center"/>
        <w:rPr>
          <w:rFonts w:eastAsia="Calibri" w:cs="Times New Roman"/>
          <w:iCs w:val="0"/>
          <w:noProof/>
          <w:szCs w:val="22"/>
          <w:lang w:val="es-MX" w:eastAsia="es-MX"/>
        </w:rPr>
      </w:pPr>
    </w:p>
    <w:p w14:paraId="5F4AE79B" w14:textId="77777777" w:rsidR="00570879" w:rsidRPr="00570879" w:rsidRDefault="00570879" w:rsidP="00570879">
      <w:pPr>
        <w:jc w:val="center"/>
        <w:rPr>
          <w:rFonts w:eastAsia="Calibri" w:cs="Times New Roman"/>
          <w:iCs w:val="0"/>
          <w:noProof/>
          <w:szCs w:val="22"/>
          <w:lang w:val="es-MX" w:eastAsia="es-MX"/>
        </w:rPr>
      </w:pPr>
    </w:p>
    <w:p w14:paraId="57A40417" w14:textId="77777777" w:rsidR="00570879" w:rsidRPr="00570879" w:rsidRDefault="00570879" w:rsidP="00570879">
      <w:pPr>
        <w:jc w:val="center"/>
        <w:rPr>
          <w:rFonts w:eastAsia="Calibri" w:cs="Times New Roman"/>
          <w:iCs w:val="0"/>
          <w:noProof/>
          <w:szCs w:val="22"/>
          <w:lang w:val="es-MX" w:eastAsia="es-MX"/>
        </w:rPr>
      </w:pPr>
    </w:p>
    <w:p w14:paraId="4A3DDDF1" w14:textId="77777777" w:rsidR="00570879" w:rsidRPr="00570879" w:rsidRDefault="00570879" w:rsidP="00570879">
      <w:pPr>
        <w:jc w:val="both"/>
        <w:rPr>
          <w:rFonts w:eastAsia="Calibri" w:cs="Times New Roman"/>
          <w:iCs w:val="0"/>
          <w:noProof/>
          <w:szCs w:val="22"/>
          <w:lang w:val="es-MX" w:eastAsia="es-MX"/>
        </w:rPr>
      </w:pPr>
    </w:p>
    <w:p w14:paraId="42783C7E" w14:textId="77777777" w:rsidR="00570879" w:rsidRPr="00570879" w:rsidRDefault="00570879" w:rsidP="00570879">
      <w:pPr>
        <w:jc w:val="both"/>
        <w:rPr>
          <w:rFonts w:eastAsia="Calibri" w:cs="Times New Roman"/>
          <w:iCs w:val="0"/>
          <w:noProof/>
          <w:szCs w:val="22"/>
          <w:lang w:val="es-MX" w:eastAsia="es-MX"/>
        </w:rPr>
      </w:pPr>
    </w:p>
    <w:bookmarkEnd w:id="0"/>
    <w:p w14:paraId="780A5241" w14:textId="77777777" w:rsidR="003E1572" w:rsidRPr="009C6450" w:rsidRDefault="003E1572" w:rsidP="003E1572">
      <w:pPr>
        <w:outlineLvl w:val="0"/>
      </w:pPr>
    </w:p>
    <w:p w14:paraId="6BF622F0" w14:textId="77777777" w:rsidR="00141ABF" w:rsidRPr="003E1572" w:rsidRDefault="00141ABF" w:rsidP="003E1572"/>
    <w:sectPr w:rsidR="00141ABF" w:rsidRPr="003E1572" w:rsidSect="006E7DD1">
      <w:headerReference w:type="default" r:id="rId45"/>
      <w:footerReference w:type="even" r:id="rId46"/>
      <w:footerReference w:type="default" r:id="rId47"/>
      <w:headerReference w:type="first" r:id="rId48"/>
      <w:footerReference w:type="first" r:id="rId49"/>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499EA" w14:textId="77777777" w:rsidR="00FF01FD" w:rsidRDefault="00FF01FD">
      <w:r>
        <w:separator/>
      </w:r>
    </w:p>
  </w:endnote>
  <w:endnote w:type="continuationSeparator" w:id="0">
    <w:p w14:paraId="38FA501F" w14:textId="77777777" w:rsidR="00FF01FD" w:rsidRDefault="00FF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3F05"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9FAABD"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9747" w14:textId="77777777" w:rsidR="004119E4" w:rsidRPr="00570879"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570879">
      <w:rPr>
        <w:rFonts w:ascii="HelveticaNeueLT Std Lt" w:eastAsia="Kozuka Gothic Pro B" w:hAnsi="HelveticaNeueLT Std Lt"/>
        <w:color w:val="FFFFFF"/>
        <w:sz w:val="22"/>
        <w:szCs w:val="22"/>
        <w:lang w:val="es-MX"/>
      </w:rPr>
      <w:fldChar w:fldCharType="begin"/>
    </w:r>
    <w:r w:rsidRPr="00570879">
      <w:rPr>
        <w:rFonts w:ascii="HelveticaNeueLT Std Lt" w:eastAsia="Kozuka Gothic Pro B" w:hAnsi="HelveticaNeueLT Std Lt"/>
        <w:color w:val="FFFFFF"/>
        <w:sz w:val="22"/>
        <w:szCs w:val="22"/>
        <w:lang w:val="es-MX"/>
      </w:rPr>
      <w:instrText xml:space="preserve">PAGE  </w:instrText>
    </w:r>
    <w:r w:rsidRPr="00570879">
      <w:rPr>
        <w:rFonts w:ascii="HelveticaNeueLT Std Lt" w:eastAsia="Kozuka Gothic Pro B" w:hAnsi="HelveticaNeueLT Std Lt"/>
        <w:color w:val="FFFFFF"/>
        <w:sz w:val="22"/>
        <w:szCs w:val="22"/>
        <w:lang w:val="es-MX"/>
      </w:rPr>
      <w:fldChar w:fldCharType="separate"/>
    </w:r>
    <w:r w:rsidR="00141ABF" w:rsidRPr="00570879">
      <w:rPr>
        <w:rFonts w:ascii="HelveticaNeueLT Std Lt" w:eastAsia="Kozuka Gothic Pro B" w:hAnsi="HelveticaNeueLT Std Lt"/>
        <w:noProof/>
        <w:color w:val="FFFFFF"/>
        <w:sz w:val="22"/>
        <w:szCs w:val="22"/>
        <w:lang w:val="es-MX"/>
      </w:rPr>
      <w:t>17</w:t>
    </w:r>
    <w:r w:rsidRPr="00570879">
      <w:rPr>
        <w:rFonts w:ascii="HelveticaNeueLT Std Lt" w:eastAsia="Kozuka Gothic Pro B" w:hAnsi="HelveticaNeueLT Std Lt"/>
        <w:color w:val="FFFFFF"/>
        <w:sz w:val="22"/>
        <w:szCs w:val="22"/>
        <w:lang w:val="es-MX"/>
      </w:rPr>
      <w:fldChar w:fldCharType="end"/>
    </w:r>
  </w:p>
  <w:p w14:paraId="10076B5E"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7B68"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29AABD43" wp14:editId="162B6FBC">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B571C8B"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1B6A4236" wp14:editId="567ACCF6">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BBAF3AC"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4015CDD0" wp14:editId="1F85733D">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E800F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5DA2BA5C" wp14:editId="46D4350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D57BF6"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56037D66" wp14:editId="5EEE97CE">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03A0D1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6251F" w14:textId="77777777" w:rsidR="00FF01FD" w:rsidRDefault="00FF01FD">
      <w:r>
        <w:separator/>
      </w:r>
    </w:p>
  </w:footnote>
  <w:footnote w:type="continuationSeparator" w:id="0">
    <w:p w14:paraId="2BF6DC1C" w14:textId="77777777" w:rsidR="00FF01FD" w:rsidRDefault="00FF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208E"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7A480F9F" wp14:editId="398C48B0">
              <wp:simplePos x="0" y="0"/>
              <wp:positionH relativeFrom="margin">
                <wp:posOffset>-197485</wp:posOffset>
              </wp:positionH>
              <wp:positionV relativeFrom="paragraph">
                <wp:posOffset>-212090</wp:posOffset>
              </wp:positionV>
              <wp:extent cx="711517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6169B" w14:textId="77777777"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14:paraId="736DE736" w14:textId="02695635"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B0D9D">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011DF2">
                            <w:rPr>
                              <w:rFonts w:ascii="HelveticaNeueLT Std Lt" w:eastAsia="Kozuka Gothic Pro B" w:hAnsi="HelveticaNeueLT Std Lt"/>
                              <w:lang w:val="es-MX"/>
                            </w:rPr>
                            <w:t>3</w:t>
                          </w:r>
                        </w:p>
                        <w:p w14:paraId="5A4BF794"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80F9F" id="_x0000_t202" coordsize="21600,21600" o:spt="202" path="m,l,21600r21600,l21600,xe">
              <v:stroke joinstyle="miter"/>
              <v:path gradientshapeok="t" o:connecttype="rect"/>
            </v:shapetype>
            <v:shape id="Text Box 84" o:spid="_x0000_s1027" type="#_x0000_t202" style="position:absolute;left:0;text-align:left;margin-left:-15.55pt;margin-top:-16.7pt;width:560.2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Rt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" filled="f" stroked="f">
              <v:textbox>
                <w:txbxContent>
                  <w:p w14:paraId="1D16169B" w14:textId="77777777"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14:paraId="736DE736" w14:textId="02695635"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B0D9D">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011DF2">
                      <w:rPr>
                        <w:rFonts w:ascii="HelveticaNeueLT Std Lt" w:eastAsia="Kozuka Gothic Pro B" w:hAnsi="HelveticaNeueLT Std Lt"/>
                        <w:lang w:val="es-MX"/>
                      </w:rPr>
                      <w:t>3</w:t>
                    </w:r>
                  </w:p>
                  <w:p w14:paraId="5A4BF794"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55CD6094" wp14:editId="42FEE309">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5204CED6" w14:textId="77777777" w:rsidR="004119E4" w:rsidRDefault="004119E4" w:rsidP="00BF6032">
    <w:pPr>
      <w:pStyle w:val="Encabezado"/>
      <w:tabs>
        <w:tab w:val="left" w:pos="4860"/>
      </w:tabs>
      <w:ind w:right="846"/>
      <w:jc w:val="right"/>
      <w:rPr>
        <w:rFonts w:ascii="Romana BT" w:hAnsi="Romana BT"/>
        <w:b/>
        <w:sz w:val="16"/>
        <w:szCs w:val="16"/>
      </w:rPr>
    </w:pPr>
  </w:p>
  <w:p w14:paraId="1D7FCD1F"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069B"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47589EDF" wp14:editId="2DD3993E">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193">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1DF2"/>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ABF"/>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1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441D"/>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1572"/>
    <w:rsid w:val="003E22F2"/>
    <w:rsid w:val="003E293A"/>
    <w:rsid w:val="003E3B84"/>
    <w:rsid w:val="003E3EE8"/>
    <w:rsid w:val="003E5149"/>
    <w:rsid w:val="003E535D"/>
    <w:rsid w:val="003E69C9"/>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3DEA"/>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0879"/>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161BE"/>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4A82"/>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67196"/>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BED"/>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5A5B"/>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37AA"/>
    <w:rsid w:val="008E432A"/>
    <w:rsid w:val="008E6ABC"/>
    <w:rsid w:val="008E71DE"/>
    <w:rsid w:val="008F3C27"/>
    <w:rsid w:val="008F552E"/>
    <w:rsid w:val="008F6879"/>
    <w:rsid w:val="00901187"/>
    <w:rsid w:val="00901EA8"/>
    <w:rsid w:val="00903AC8"/>
    <w:rsid w:val="00910A49"/>
    <w:rsid w:val="00911712"/>
    <w:rsid w:val="00913156"/>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4EF6"/>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185"/>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0D9D"/>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3B58"/>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5E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4BC6"/>
    <w:rsid w:val="00CA79A1"/>
    <w:rsid w:val="00CB0789"/>
    <w:rsid w:val="00CB137B"/>
    <w:rsid w:val="00CB280D"/>
    <w:rsid w:val="00CB38B1"/>
    <w:rsid w:val="00CB4010"/>
    <w:rsid w:val="00CB4BBB"/>
    <w:rsid w:val="00CC0DD4"/>
    <w:rsid w:val="00CC4278"/>
    <w:rsid w:val="00CC57F7"/>
    <w:rsid w:val="00CC5F87"/>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1177"/>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3A04"/>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43C"/>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576DC"/>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01FD"/>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87716,#f9c81e,#605d5c"/>
    </o:shapedefaults>
    <o:shapelayout v:ext="edit">
      <o:idmap v:ext="edit" data="1"/>
    </o:shapelayout>
  </w:shapeDefaults>
  <w:decimalSymbol w:val="."/>
  <w:listSeparator w:val=","/>
  <w14:docId w14:val="24B3032D"/>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912857721">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_rels/header2.xml.rels><?xml version="1.0" encoding="UTF-8" standalone="yes"?>
<Relationships xmlns="http://schemas.openxmlformats.org/package/2006/relationships"><Relationship Id="rId1" Type="http://schemas.openxmlformats.org/officeDocument/2006/relationships/image" Target="media/image39.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0226-4F30-4B33-BA57-0E07F1D4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3493</Words>
  <Characters>19523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2024-04-13T01:12:00Z</cp:lastPrinted>
  <dcterms:created xsi:type="dcterms:W3CDTF">2024-04-13T01:13:00Z</dcterms:created>
  <dcterms:modified xsi:type="dcterms:W3CDTF">2024-04-13T01:13:00Z</dcterms:modified>
</cp:coreProperties>
</file>