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AB66B" w14:textId="77777777" w:rsidR="006E072E" w:rsidRPr="006E072E" w:rsidRDefault="006E072E" w:rsidP="006E072E">
      <w:pPr>
        <w:autoSpaceDE w:val="0"/>
        <w:autoSpaceDN w:val="0"/>
        <w:adjustRightInd w:val="0"/>
        <w:jc w:val="center"/>
        <w:rPr>
          <w:rFonts w:ascii="Arial" w:hAnsi="Arial" w:cs="Arial"/>
          <w:b/>
          <w:color w:val="9E213D" w:themeColor="accent2"/>
          <w:sz w:val="28"/>
          <w:szCs w:val="28"/>
        </w:rPr>
      </w:pPr>
      <w:r w:rsidRPr="006E072E">
        <w:rPr>
          <w:rFonts w:ascii="Arial" w:hAnsi="Arial" w:cs="Arial"/>
          <w:b/>
          <w:color w:val="9E213D" w:themeColor="accent2"/>
          <w:sz w:val="28"/>
          <w:szCs w:val="28"/>
        </w:rPr>
        <w:t>Notas a los estados financieros consolidados</w:t>
      </w:r>
    </w:p>
    <w:p w14:paraId="1A2529D9" w14:textId="65BD33A1" w:rsidR="006E072E" w:rsidRPr="006E072E" w:rsidRDefault="006E072E" w:rsidP="006E072E">
      <w:pPr>
        <w:jc w:val="center"/>
        <w:rPr>
          <w:rFonts w:ascii="Arial" w:hAnsi="Arial" w:cs="Arial"/>
          <w:color w:val="9E213D" w:themeColor="accent2"/>
          <w:sz w:val="24"/>
          <w:szCs w:val="24"/>
          <w:lang w:eastAsia="es-ES"/>
        </w:rPr>
      </w:pPr>
      <w:r w:rsidRPr="006E072E">
        <w:rPr>
          <w:rFonts w:ascii="Arial" w:hAnsi="Arial" w:cs="Arial"/>
          <w:color w:val="9E213D" w:themeColor="accent2"/>
          <w:sz w:val="24"/>
          <w:szCs w:val="24"/>
          <w:lang w:eastAsia="es-ES"/>
        </w:rPr>
        <w:t xml:space="preserve">DEL 1 DE ENERO AL </w:t>
      </w:r>
      <w:r w:rsidR="008E371A">
        <w:rPr>
          <w:rFonts w:ascii="Arial" w:hAnsi="Arial" w:cs="Arial"/>
          <w:color w:val="9E213D" w:themeColor="accent2"/>
          <w:sz w:val="24"/>
          <w:szCs w:val="24"/>
          <w:lang w:eastAsia="es-ES"/>
        </w:rPr>
        <w:t xml:space="preserve">30 </w:t>
      </w:r>
      <w:r w:rsidR="00696A19">
        <w:rPr>
          <w:rFonts w:ascii="Arial" w:hAnsi="Arial" w:cs="Arial"/>
          <w:color w:val="9E213D" w:themeColor="accent2"/>
          <w:sz w:val="24"/>
          <w:szCs w:val="24"/>
          <w:lang w:eastAsia="es-ES"/>
        </w:rPr>
        <w:t xml:space="preserve">DE </w:t>
      </w:r>
      <w:r w:rsidR="00D30BBF">
        <w:rPr>
          <w:rFonts w:ascii="Arial" w:hAnsi="Arial" w:cs="Arial"/>
          <w:color w:val="9E213D" w:themeColor="accent2"/>
          <w:sz w:val="24"/>
          <w:szCs w:val="24"/>
          <w:lang w:eastAsia="es-ES"/>
        </w:rPr>
        <w:t xml:space="preserve">SEPTIEMBRE </w:t>
      </w:r>
      <w:r w:rsidRPr="006E072E">
        <w:rPr>
          <w:rFonts w:ascii="Arial" w:hAnsi="Arial" w:cs="Arial"/>
          <w:color w:val="9E213D" w:themeColor="accent2"/>
          <w:sz w:val="24"/>
          <w:szCs w:val="24"/>
          <w:lang w:eastAsia="es-ES"/>
        </w:rPr>
        <w:t>DE 2023</w:t>
      </w:r>
    </w:p>
    <w:p w14:paraId="1EC330CB" w14:textId="77777777" w:rsidR="006E072E" w:rsidRPr="006E072E" w:rsidRDefault="006E072E" w:rsidP="006E072E">
      <w:pPr>
        <w:jc w:val="center"/>
        <w:rPr>
          <w:rFonts w:ascii="Arial" w:hAnsi="Arial" w:cs="Arial"/>
          <w:color w:val="9E213D" w:themeColor="accent2"/>
          <w:sz w:val="24"/>
          <w:szCs w:val="24"/>
          <w:lang w:eastAsia="es-ES"/>
        </w:rPr>
      </w:pPr>
      <w:r w:rsidRPr="006E072E">
        <w:rPr>
          <w:rFonts w:ascii="Arial" w:hAnsi="Arial" w:cs="Arial"/>
          <w:color w:val="9E213D" w:themeColor="accent2"/>
          <w:sz w:val="24"/>
          <w:szCs w:val="24"/>
          <w:lang w:eastAsia="es-ES"/>
        </w:rPr>
        <w:t>(Cifras en pesos)</w:t>
      </w:r>
    </w:p>
    <w:p w14:paraId="721E6E79" w14:textId="77777777" w:rsidR="006E072E" w:rsidRPr="00415110" w:rsidRDefault="006E072E" w:rsidP="006E072E">
      <w:pPr>
        <w:jc w:val="both"/>
        <w:outlineLvl w:val="0"/>
        <w:rPr>
          <w:rFonts w:ascii="Arial" w:hAnsi="Arial" w:cs="Arial"/>
          <w:sz w:val="20"/>
          <w:szCs w:val="20"/>
        </w:rPr>
      </w:pPr>
      <w:bookmarkStart w:id="0" w:name="_Hlk117854077"/>
    </w:p>
    <w:bookmarkEnd w:id="0"/>
    <w:p w14:paraId="0BE84472" w14:textId="0CBC79F1" w:rsidR="005666F0" w:rsidRPr="005666F0" w:rsidRDefault="005666F0" w:rsidP="005666F0">
      <w:pPr>
        <w:jc w:val="both"/>
        <w:rPr>
          <w:rFonts w:ascii="Arial" w:eastAsia="Calibri" w:hAnsi="Arial" w:cs="Times New Roman"/>
          <w:b/>
        </w:rPr>
      </w:pPr>
      <w:r w:rsidRPr="005666F0">
        <w:rPr>
          <w:rFonts w:ascii="Arial" w:eastAsia="Calibri" w:hAnsi="Arial" w:cs="Times New Roman"/>
          <w:b/>
          <w:sz w:val="24"/>
        </w:rPr>
        <w:t>Introducción</w:t>
      </w:r>
    </w:p>
    <w:p w14:paraId="68966DE7" w14:textId="77777777" w:rsidR="005666F0" w:rsidRPr="005666F0" w:rsidRDefault="005666F0" w:rsidP="005666F0">
      <w:pPr>
        <w:jc w:val="both"/>
        <w:rPr>
          <w:rFonts w:ascii="Arial" w:eastAsia="Calibri" w:hAnsi="Arial" w:cs="Times New Roman"/>
          <w:b/>
          <w:sz w:val="20"/>
        </w:rPr>
      </w:pPr>
    </w:p>
    <w:p w14:paraId="6E03225D" w14:textId="320761EA" w:rsidR="005666F0" w:rsidRPr="005666F0" w:rsidRDefault="005666F0" w:rsidP="005666F0">
      <w:pPr>
        <w:jc w:val="both"/>
        <w:rPr>
          <w:rFonts w:ascii="Arial" w:hAnsi="Arial"/>
          <w:bCs/>
          <w:sz w:val="20"/>
        </w:rPr>
      </w:pPr>
      <w:r w:rsidRPr="005666F0">
        <w:rPr>
          <w:rFonts w:ascii="Arial" w:hAnsi="Arial"/>
          <w:bCs/>
          <w:sz w:val="20"/>
        </w:rPr>
        <w:t>De conformidad al artículo 46, fracción I, inciso g) y 49 de la Ley General de Contabilidad Gubernamental, así como, a la normatividad emitida por el Consejo Nacional de Armonización Contable, a continuación, se presentan las notas a los estados financieros de las Instituciones Públicas de Seguridad Social, correspondiente al 3</w:t>
      </w:r>
      <w:r w:rsidR="008E371A">
        <w:rPr>
          <w:rFonts w:ascii="Arial" w:hAnsi="Arial"/>
          <w:bCs/>
          <w:sz w:val="20"/>
        </w:rPr>
        <w:t>0</w:t>
      </w:r>
      <w:r w:rsidRPr="005666F0">
        <w:rPr>
          <w:rFonts w:ascii="Arial" w:hAnsi="Arial"/>
          <w:bCs/>
          <w:sz w:val="20"/>
        </w:rPr>
        <w:t xml:space="preserve"> de </w:t>
      </w:r>
      <w:r w:rsidR="002A3122">
        <w:rPr>
          <w:rFonts w:ascii="Arial" w:hAnsi="Arial"/>
          <w:bCs/>
          <w:sz w:val="20"/>
        </w:rPr>
        <w:t xml:space="preserve">septiembre </w:t>
      </w:r>
      <w:r w:rsidRPr="005666F0">
        <w:rPr>
          <w:rFonts w:ascii="Arial" w:hAnsi="Arial"/>
          <w:bCs/>
          <w:sz w:val="20"/>
        </w:rPr>
        <w:t>de 2023, con los siguientes apartados:</w:t>
      </w:r>
    </w:p>
    <w:p w14:paraId="094A35C3" w14:textId="77777777" w:rsidR="005666F0" w:rsidRPr="005666F0" w:rsidRDefault="005666F0" w:rsidP="005666F0">
      <w:pPr>
        <w:jc w:val="both"/>
        <w:rPr>
          <w:rFonts w:ascii="Arial" w:hAnsi="Arial"/>
          <w:bCs/>
          <w:sz w:val="20"/>
        </w:rPr>
      </w:pPr>
    </w:p>
    <w:p w14:paraId="7EFD2392" w14:textId="77777777" w:rsidR="005666F0" w:rsidRPr="005666F0" w:rsidRDefault="005666F0" w:rsidP="005666F0">
      <w:pPr>
        <w:numPr>
          <w:ilvl w:val="0"/>
          <w:numId w:val="22"/>
        </w:numPr>
        <w:spacing w:after="120"/>
        <w:ind w:left="357" w:hanging="357"/>
        <w:jc w:val="both"/>
        <w:rPr>
          <w:rFonts w:ascii="Arial" w:eastAsia="Times New Roman" w:hAnsi="Arial" w:cs="Arial"/>
          <w:bCs/>
          <w:caps/>
          <w:sz w:val="20"/>
          <w:szCs w:val="20"/>
          <w:lang w:eastAsia="es-MX"/>
        </w:rPr>
      </w:pPr>
      <w:r w:rsidRPr="005666F0">
        <w:rPr>
          <w:rFonts w:ascii="Arial" w:eastAsia="Times New Roman" w:hAnsi="Arial" w:cs="Arial"/>
          <w:bCs/>
          <w:sz w:val="20"/>
          <w:szCs w:val="20"/>
          <w:lang w:eastAsia="es-MX"/>
        </w:rPr>
        <w:t>Notas de gestión administrativa</w:t>
      </w:r>
    </w:p>
    <w:p w14:paraId="504A9EE9" w14:textId="77777777" w:rsidR="005666F0" w:rsidRPr="005666F0" w:rsidRDefault="005666F0" w:rsidP="005666F0">
      <w:pPr>
        <w:numPr>
          <w:ilvl w:val="0"/>
          <w:numId w:val="22"/>
        </w:numPr>
        <w:spacing w:after="120"/>
        <w:ind w:left="357" w:hanging="357"/>
        <w:jc w:val="both"/>
        <w:rPr>
          <w:rFonts w:ascii="Arial" w:eastAsia="Times New Roman" w:hAnsi="Arial" w:cs="Arial"/>
          <w:bCs/>
          <w:caps/>
          <w:sz w:val="20"/>
          <w:szCs w:val="20"/>
          <w:lang w:eastAsia="es-MX"/>
        </w:rPr>
      </w:pPr>
      <w:r w:rsidRPr="005666F0">
        <w:rPr>
          <w:rFonts w:ascii="Arial" w:eastAsia="Times New Roman" w:hAnsi="Arial" w:cs="Arial"/>
          <w:bCs/>
          <w:sz w:val="20"/>
          <w:szCs w:val="20"/>
          <w:lang w:eastAsia="es-MX"/>
        </w:rPr>
        <w:t>Notas de desglose, y</w:t>
      </w:r>
    </w:p>
    <w:p w14:paraId="59BF28AF" w14:textId="77777777" w:rsidR="005666F0" w:rsidRPr="005666F0" w:rsidRDefault="005666F0" w:rsidP="005666F0">
      <w:pPr>
        <w:numPr>
          <w:ilvl w:val="0"/>
          <w:numId w:val="22"/>
        </w:numPr>
        <w:spacing w:after="120"/>
        <w:ind w:left="357" w:hanging="357"/>
        <w:jc w:val="both"/>
        <w:rPr>
          <w:rFonts w:ascii="Arial" w:eastAsia="Times New Roman" w:hAnsi="Arial" w:cs="Arial"/>
          <w:bCs/>
          <w:caps/>
          <w:sz w:val="20"/>
          <w:szCs w:val="20"/>
          <w:lang w:eastAsia="es-MX"/>
        </w:rPr>
      </w:pPr>
      <w:r w:rsidRPr="005666F0">
        <w:rPr>
          <w:rFonts w:ascii="Arial" w:eastAsia="Times New Roman" w:hAnsi="Arial" w:cs="Arial"/>
          <w:bCs/>
          <w:sz w:val="20"/>
          <w:szCs w:val="20"/>
          <w:lang w:eastAsia="es-MX"/>
        </w:rPr>
        <w:t>Notas de memoria (cuentas de orden)</w:t>
      </w:r>
    </w:p>
    <w:p w14:paraId="1588ABD3" w14:textId="77777777" w:rsidR="005666F0" w:rsidRPr="005666F0" w:rsidRDefault="005666F0" w:rsidP="005666F0">
      <w:pPr>
        <w:jc w:val="both"/>
        <w:rPr>
          <w:rFonts w:ascii="Arial" w:hAnsi="Arial"/>
          <w:bCs/>
          <w:caps/>
          <w:sz w:val="20"/>
        </w:rPr>
      </w:pPr>
    </w:p>
    <w:p w14:paraId="373486DC" w14:textId="14FF8BAB" w:rsidR="005666F0" w:rsidRPr="005666F0" w:rsidRDefault="005666F0" w:rsidP="005666F0">
      <w:pPr>
        <w:jc w:val="both"/>
        <w:rPr>
          <w:rFonts w:ascii="Arial" w:hAnsi="Arial"/>
          <w:bCs/>
          <w:sz w:val="20"/>
        </w:rPr>
      </w:pPr>
      <w:r w:rsidRPr="005666F0">
        <w:rPr>
          <w:rFonts w:ascii="Arial" w:hAnsi="Arial"/>
          <w:bCs/>
          <w:sz w:val="20"/>
        </w:rPr>
        <w:t xml:space="preserve">Las cifras mostradas al </w:t>
      </w:r>
      <w:r w:rsidR="008E371A">
        <w:rPr>
          <w:rFonts w:ascii="Arial" w:hAnsi="Arial"/>
          <w:bCs/>
          <w:sz w:val="20"/>
        </w:rPr>
        <w:t xml:space="preserve">30 de </w:t>
      </w:r>
      <w:r w:rsidR="002A3122">
        <w:rPr>
          <w:rFonts w:ascii="Arial" w:hAnsi="Arial"/>
          <w:bCs/>
          <w:sz w:val="20"/>
        </w:rPr>
        <w:t xml:space="preserve">septiembre </w:t>
      </w:r>
      <w:r w:rsidRPr="005666F0">
        <w:rPr>
          <w:rFonts w:ascii="Arial" w:hAnsi="Arial"/>
          <w:bCs/>
          <w:sz w:val="20"/>
        </w:rPr>
        <w:t>de 2023, se presentan de conformidad a la estructura de consolidación dictado por el Consejo Nacional de Armonización Contable, en el acuerdo por el que se armoniza la estructura de las cuentas públicas, publicado en el Diario Oficial de la Federación el 30 de diciembre de 2013, reformas del 6 de octubre de 2014, 27 de septiembre de 2018, del 23 de diciembre de 2020 y 6 de diciembre de 2022.</w:t>
      </w:r>
    </w:p>
    <w:p w14:paraId="75266B27" w14:textId="77777777" w:rsidR="005666F0" w:rsidRPr="005666F0" w:rsidRDefault="005666F0" w:rsidP="005666F0">
      <w:pPr>
        <w:jc w:val="both"/>
        <w:rPr>
          <w:rFonts w:ascii="Arial" w:hAnsi="Arial"/>
          <w:bCs/>
          <w:sz w:val="20"/>
        </w:rPr>
      </w:pPr>
    </w:p>
    <w:p w14:paraId="5DE9B113" w14:textId="77777777" w:rsidR="005666F0" w:rsidRPr="005666F0" w:rsidRDefault="005666F0" w:rsidP="005666F0">
      <w:pPr>
        <w:jc w:val="both"/>
        <w:rPr>
          <w:rFonts w:ascii="Arial" w:hAnsi="Arial"/>
          <w:bCs/>
          <w:sz w:val="20"/>
        </w:rPr>
      </w:pPr>
    </w:p>
    <w:p w14:paraId="693B141F" w14:textId="77777777" w:rsidR="005666F0" w:rsidRPr="005666F0" w:rsidRDefault="005666F0" w:rsidP="005666F0">
      <w:pPr>
        <w:jc w:val="both"/>
        <w:rPr>
          <w:rFonts w:ascii="Arial" w:eastAsia="Calibri" w:hAnsi="Arial" w:cs="Times New Roman"/>
          <w:b/>
          <w:sz w:val="24"/>
        </w:rPr>
      </w:pPr>
      <w:r w:rsidRPr="005666F0">
        <w:rPr>
          <w:rFonts w:ascii="Arial" w:eastAsia="Calibri" w:hAnsi="Arial" w:cs="Times New Roman"/>
          <w:b/>
          <w:sz w:val="24"/>
        </w:rPr>
        <w:t>Notas de gestión administrativa</w:t>
      </w:r>
    </w:p>
    <w:p w14:paraId="1A7FCA85" w14:textId="77777777" w:rsidR="005666F0" w:rsidRPr="005666F0" w:rsidRDefault="005666F0" w:rsidP="005666F0">
      <w:pPr>
        <w:autoSpaceDE w:val="0"/>
        <w:autoSpaceDN w:val="0"/>
        <w:adjustRightInd w:val="0"/>
        <w:jc w:val="both"/>
        <w:rPr>
          <w:rFonts w:ascii="Arial" w:eastAsia="Calibri" w:hAnsi="Arial" w:cs="Times New Roman"/>
          <w:sz w:val="20"/>
        </w:rPr>
      </w:pPr>
    </w:p>
    <w:p w14:paraId="33892151" w14:textId="77777777" w:rsidR="005666F0" w:rsidRPr="005666F0" w:rsidRDefault="005666F0" w:rsidP="005666F0">
      <w:pPr>
        <w:autoSpaceDE w:val="0"/>
        <w:autoSpaceDN w:val="0"/>
        <w:adjustRightInd w:val="0"/>
        <w:jc w:val="both"/>
        <w:outlineLvl w:val="0"/>
        <w:rPr>
          <w:rFonts w:ascii="Arial" w:hAnsi="Arial"/>
          <w:sz w:val="20"/>
        </w:rPr>
      </w:pPr>
      <w:r w:rsidRPr="005666F0">
        <w:rPr>
          <w:rFonts w:ascii="Arial" w:hAnsi="Arial"/>
          <w:sz w:val="20"/>
        </w:rPr>
        <w:t>Las notas de gestión administrativa de las Instituciones Públicas de Seguridad Social, son producto de las notas del ente público que lo conforma, mismas que pueden ser consultadas en el ente público.</w:t>
      </w:r>
    </w:p>
    <w:p w14:paraId="2ECFE177" w14:textId="77777777" w:rsidR="005666F0" w:rsidRPr="005666F0" w:rsidRDefault="005666F0" w:rsidP="005666F0">
      <w:pPr>
        <w:autoSpaceDE w:val="0"/>
        <w:autoSpaceDN w:val="0"/>
        <w:adjustRightInd w:val="0"/>
        <w:jc w:val="both"/>
        <w:outlineLvl w:val="0"/>
        <w:rPr>
          <w:rFonts w:ascii="Arial" w:hAnsi="Arial"/>
          <w:sz w:val="20"/>
        </w:rPr>
      </w:pPr>
    </w:p>
    <w:p w14:paraId="78095F2E" w14:textId="77777777" w:rsidR="005666F0" w:rsidRPr="005666F0" w:rsidRDefault="005666F0" w:rsidP="005666F0">
      <w:pPr>
        <w:jc w:val="both"/>
        <w:rPr>
          <w:rFonts w:ascii="Arial" w:hAnsi="Arial"/>
          <w:b/>
          <w:bCs/>
          <w:caps/>
          <w:sz w:val="20"/>
        </w:rPr>
      </w:pPr>
    </w:p>
    <w:p w14:paraId="1A955675" w14:textId="77777777" w:rsidR="005666F0" w:rsidRPr="005666F0" w:rsidRDefault="005666F0" w:rsidP="005666F0">
      <w:pPr>
        <w:jc w:val="both"/>
        <w:rPr>
          <w:rFonts w:ascii="Arial" w:eastAsia="Calibri" w:hAnsi="Arial" w:cs="Times New Roman"/>
          <w:b/>
          <w:sz w:val="24"/>
        </w:rPr>
      </w:pPr>
      <w:bookmarkStart w:id="1" w:name="_Hlk125467046"/>
      <w:r w:rsidRPr="005666F0">
        <w:rPr>
          <w:rFonts w:ascii="Arial" w:eastAsia="Calibri" w:hAnsi="Arial" w:cs="Times New Roman"/>
          <w:b/>
          <w:sz w:val="24"/>
        </w:rPr>
        <w:t>Notas de desglose</w:t>
      </w:r>
    </w:p>
    <w:p w14:paraId="6E228BF6" w14:textId="77777777" w:rsidR="005666F0" w:rsidRPr="005666F0" w:rsidRDefault="005666F0" w:rsidP="005666F0">
      <w:pPr>
        <w:outlineLvl w:val="0"/>
        <w:rPr>
          <w:rFonts w:ascii="Arial" w:hAnsi="Arial" w:cs="Arial"/>
          <w:b/>
          <w:bCs/>
          <w:sz w:val="20"/>
        </w:rPr>
      </w:pPr>
    </w:p>
    <w:p w14:paraId="3E6044D1" w14:textId="77777777" w:rsidR="005666F0" w:rsidRPr="005666F0" w:rsidRDefault="005666F0" w:rsidP="005666F0">
      <w:pPr>
        <w:pStyle w:val="Subttulo"/>
        <w:rPr>
          <w:caps/>
        </w:rPr>
      </w:pPr>
      <w:r w:rsidRPr="005666F0">
        <w:t>Notas al estado de actividades</w:t>
      </w:r>
    </w:p>
    <w:p w14:paraId="0E3CE7DC" w14:textId="77777777" w:rsidR="005666F0" w:rsidRPr="005666F0" w:rsidRDefault="005666F0" w:rsidP="005666F0">
      <w:pPr>
        <w:jc w:val="both"/>
        <w:outlineLvl w:val="0"/>
        <w:rPr>
          <w:rFonts w:ascii="Arial" w:hAnsi="Arial"/>
          <w:sz w:val="20"/>
        </w:rPr>
      </w:pPr>
    </w:p>
    <w:p w14:paraId="5197A5E8" w14:textId="2DBD00A8" w:rsidR="005666F0" w:rsidRPr="005666F0" w:rsidRDefault="005666F0" w:rsidP="005666F0">
      <w:pPr>
        <w:jc w:val="both"/>
        <w:outlineLvl w:val="0"/>
        <w:rPr>
          <w:rFonts w:ascii="Arial" w:hAnsi="Arial"/>
          <w:sz w:val="20"/>
        </w:rPr>
      </w:pPr>
      <w:r w:rsidRPr="005666F0">
        <w:rPr>
          <w:rFonts w:ascii="Arial" w:hAnsi="Arial"/>
          <w:sz w:val="20"/>
        </w:rPr>
        <w:t xml:space="preserve">El resultado positivo obtenido del 1 de enero al </w:t>
      </w:r>
      <w:r w:rsidR="008E371A">
        <w:rPr>
          <w:rFonts w:ascii="Arial" w:hAnsi="Arial"/>
          <w:sz w:val="20"/>
        </w:rPr>
        <w:t xml:space="preserve">30 de </w:t>
      </w:r>
      <w:r w:rsidR="0073290D">
        <w:rPr>
          <w:rFonts w:ascii="Arial" w:hAnsi="Arial"/>
          <w:sz w:val="20"/>
        </w:rPr>
        <w:t xml:space="preserve">septiembre </w:t>
      </w:r>
      <w:r w:rsidRPr="005666F0">
        <w:rPr>
          <w:rFonts w:ascii="Arial" w:hAnsi="Arial"/>
          <w:sz w:val="20"/>
        </w:rPr>
        <w:t>de 2023, asciende a 4</w:t>
      </w:r>
      <w:r w:rsidR="001A56A2">
        <w:rPr>
          <w:rFonts w:ascii="Arial" w:hAnsi="Arial"/>
          <w:sz w:val="20"/>
        </w:rPr>
        <w:t>63.8</w:t>
      </w:r>
      <w:r w:rsidR="008E371A">
        <w:rPr>
          <w:rFonts w:ascii="Arial" w:hAnsi="Arial"/>
          <w:sz w:val="20"/>
        </w:rPr>
        <w:t xml:space="preserve"> </w:t>
      </w:r>
      <w:r w:rsidRPr="005666F0">
        <w:rPr>
          <w:rFonts w:ascii="Arial" w:hAnsi="Arial"/>
          <w:sz w:val="20"/>
        </w:rPr>
        <w:t>millones de pesos y se obtiene de restar a los ingresos percibidos y por las ministraciones de las Instituciones Públicas de Seguridad Social, contra los gastos y otras pérdidas sin considerar los recursos destinados en la adquisición de bienes muebles e inmuebles consideradas como inversión.</w:t>
      </w:r>
    </w:p>
    <w:p w14:paraId="41C49DF5" w14:textId="7434D1B7" w:rsidR="005666F0" w:rsidRDefault="005666F0" w:rsidP="005666F0">
      <w:pPr>
        <w:jc w:val="both"/>
        <w:outlineLvl w:val="0"/>
        <w:rPr>
          <w:rFonts w:ascii="Arial" w:hAnsi="Arial"/>
          <w:sz w:val="20"/>
        </w:rPr>
      </w:pPr>
    </w:p>
    <w:p w14:paraId="2EEC9054" w14:textId="77777777" w:rsidR="005666F0" w:rsidRPr="005666F0" w:rsidRDefault="005666F0" w:rsidP="005666F0">
      <w:pPr>
        <w:pStyle w:val="Subttulo"/>
      </w:pPr>
      <w:r w:rsidRPr="005666F0">
        <w:t>Ingresos y otros beneficios</w:t>
      </w:r>
    </w:p>
    <w:p w14:paraId="4469B591" w14:textId="77777777" w:rsidR="005666F0" w:rsidRPr="005666F0" w:rsidRDefault="005666F0" w:rsidP="005666F0">
      <w:pPr>
        <w:tabs>
          <w:tab w:val="left" w:pos="1418"/>
        </w:tabs>
        <w:autoSpaceDE w:val="0"/>
        <w:autoSpaceDN w:val="0"/>
        <w:adjustRightInd w:val="0"/>
        <w:jc w:val="both"/>
        <w:rPr>
          <w:rFonts w:ascii="Arial" w:hAnsi="Arial"/>
          <w:b/>
          <w:i/>
          <w:sz w:val="20"/>
        </w:rPr>
      </w:pPr>
    </w:p>
    <w:p w14:paraId="2667475B" w14:textId="46CF0658" w:rsidR="005666F0" w:rsidRPr="005666F0" w:rsidRDefault="005666F0" w:rsidP="005666F0">
      <w:pPr>
        <w:jc w:val="both"/>
        <w:outlineLvl w:val="0"/>
        <w:rPr>
          <w:rFonts w:ascii="Arial" w:hAnsi="Arial"/>
          <w:sz w:val="20"/>
        </w:rPr>
      </w:pPr>
      <w:r w:rsidRPr="005666F0">
        <w:rPr>
          <w:rFonts w:ascii="Arial" w:hAnsi="Arial"/>
          <w:sz w:val="20"/>
        </w:rPr>
        <w:t xml:space="preserve">Los ingresos ascienden a </w:t>
      </w:r>
      <w:r w:rsidR="004F6B8B">
        <w:rPr>
          <w:rFonts w:ascii="Arial" w:hAnsi="Arial"/>
          <w:sz w:val="20"/>
        </w:rPr>
        <w:t>4</w:t>
      </w:r>
      <w:r w:rsidRPr="005666F0">
        <w:rPr>
          <w:rFonts w:ascii="Arial" w:hAnsi="Arial"/>
          <w:sz w:val="20"/>
        </w:rPr>
        <w:t xml:space="preserve"> mil </w:t>
      </w:r>
      <w:r w:rsidR="004F6B8B">
        <w:rPr>
          <w:rFonts w:ascii="Arial" w:hAnsi="Arial"/>
          <w:sz w:val="20"/>
        </w:rPr>
        <w:t>198</w:t>
      </w:r>
      <w:r w:rsidR="001A56A2">
        <w:rPr>
          <w:rFonts w:ascii="Arial" w:hAnsi="Arial"/>
          <w:sz w:val="20"/>
        </w:rPr>
        <w:t>.0</w:t>
      </w:r>
      <w:r w:rsidR="004F6B8B">
        <w:rPr>
          <w:rFonts w:ascii="Arial" w:hAnsi="Arial"/>
          <w:sz w:val="20"/>
        </w:rPr>
        <w:t xml:space="preserve"> </w:t>
      </w:r>
      <w:r w:rsidRPr="005666F0">
        <w:rPr>
          <w:rFonts w:ascii="Arial" w:hAnsi="Arial"/>
          <w:sz w:val="20"/>
        </w:rPr>
        <w:t>millones de pesos, dentro de este rubro se reflejan las cuotas y aportaciones de los trabajadores del sector magisterio, burocracia, ISSTECH, convenios particulares y pensionados; así mismo se consideran los ingresos por reposición de credenciales, ingresos del deportivo, renta de espacios por estaciones de carga, domo cafetería, expedición de certificados médicos y servicios médicos a particulares.</w:t>
      </w:r>
    </w:p>
    <w:p w14:paraId="63293311" w14:textId="77777777" w:rsidR="005666F0" w:rsidRPr="005666F0" w:rsidRDefault="005666F0" w:rsidP="005666F0">
      <w:pPr>
        <w:jc w:val="both"/>
        <w:outlineLvl w:val="0"/>
        <w:rPr>
          <w:rFonts w:ascii="Arial" w:hAnsi="Arial"/>
          <w:sz w:val="20"/>
        </w:rPr>
      </w:pPr>
    </w:p>
    <w:p w14:paraId="3E98F82E" w14:textId="7DCC26F5" w:rsidR="005666F0" w:rsidRPr="005666F0" w:rsidRDefault="005666F0" w:rsidP="005666F0">
      <w:pPr>
        <w:jc w:val="both"/>
        <w:outlineLvl w:val="0"/>
        <w:rPr>
          <w:rFonts w:ascii="Arial" w:hAnsi="Arial"/>
          <w:sz w:val="20"/>
        </w:rPr>
      </w:pPr>
      <w:r w:rsidRPr="005666F0">
        <w:rPr>
          <w:rFonts w:ascii="Arial" w:hAnsi="Arial"/>
          <w:sz w:val="20"/>
        </w:rPr>
        <w:t xml:space="preserve">Al </w:t>
      </w:r>
      <w:r w:rsidR="008E371A">
        <w:rPr>
          <w:rFonts w:ascii="Arial" w:hAnsi="Arial"/>
          <w:sz w:val="20"/>
        </w:rPr>
        <w:t xml:space="preserve">30 de </w:t>
      </w:r>
      <w:r w:rsidR="004F6B8B">
        <w:rPr>
          <w:rFonts w:ascii="Arial" w:hAnsi="Arial"/>
          <w:sz w:val="20"/>
        </w:rPr>
        <w:t xml:space="preserve">septiembre </w:t>
      </w:r>
      <w:r w:rsidRPr="005666F0">
        <w:rPr>
          <w:rFonts w:ascii="Arial" w:hAnsi="Arial"/>
          <w:sz w:val="20"/>
        </w:rPr>
        <w:t>de 2023, este rubro está integrado por recursos presupuestales ministrados y radicados a través de transferencias que la Secretaría de Hacienda realiza con base al presupuesto autorizado, proporcionado con las fuentes de financiamiento Fondo de Aportaciones para el Fortalecimiento de las Entidades Federativas, para cubrir el costo de la nómina de pensionados, así como para pago de pasivos de años anteriores y del ejercicio actual, proporcionados con fuente de financiamiento de aportaciones federales.</w:t>
      </w:r>
    </w:p>
    <w:p w14:paraId="0D75D0DC" w14:textId="77777777" w:rsidR="005666F0" w:rsidRPr="005666F0" w:rsidRDefault="005666F0" w:rsidP="005666F0">
      <w:pPr>
        <w:jc w:val="both"/>
        <w:outlineLvl w:val="0"/>
        <w:rPr>
          <w:rFonts w:ascii="Arial" w:hAnsi="Arial"/>
          <w:sz w:val="20"/>
        </w:rPr>
      </w:pPr>
    </w:p>
    <w:p w14:paraId="7BDA3AB8" w14:textId="77777777" w:rsidR="005666F0" w:rsidRPr="005666F0" w:rsidRDefault="005666F0" w:rsidP="005666F0">
      <w:pPr>
        <w:jc w:val="both"/>
        <w:outlineLvl w:val="0"/>
        <w:rPr>
          <w:rFonts w:ascii="Arial" w:hAnsi="Arial"/>
          <w:sz w:val="20"/>
        </w:rPr>
      </w:pPr>
      <w:r w:rsidRPr="005666F0">
        <w:rPr>
          <w:rFonts w:ascii="Arial" w:hAnsi="Arial"/>
          <w:sz w:val="20"/>
        </w:rPr>
        <w:t xml:space="preserve">El rubro de otros ingresos y beneficios, corresponden a ingresos obtenidos, por concepto de rendimientos generados de los préstamos otorgados a corto y a largo plazo, las inversiones, cuentas bancarias y lo que generan las casas de bolsa de inversión del fideicomiso; así mismo, los importes que corresponde a productos diversos por diferencia en pagos y depósitos por apertura de cuenta bancaria. </w:t>
      </w:r>
    </w:p>
    <w:p w14:paraId="7E0BAAE3" w14:textId="759C0ADE" w:rsidR="005666F0" w:rsidRDefault="005666F0" w:rsidP="005666F0">
      <w:pPr>
        <w:jc w:val="both"/>
        <w:outlineLvl w:val="0"/>
        <w:rPr>
          <w:rFonts w:ascii="Arial" w:hAnsi="Arial"/>
          <w:sz w:val="20"/>
        </w:rPr>
      </w:pPr>
    </w:p>
    <w:p w14:paraId="7E59E9EB" w14:textId="5A6FE590" w:rsidR="008F12F8" w:rsidRDefault="008F12F8" w:rsidP="005666F0">
      <w:pPr>
        <w:jc w:val="both"/>
        <w:outlineLvl w:val="0"/>
        <w:rPr>
          <w:rFonts w:ascii="Arial" w:hAnsi="Arial"/>
          <w:sz w:val="20"/>
        </w:rPr>
      </w:pPr>
    </w:p>
    <w:p w14:paraId="11C6B5A2" w14:textId="77777777" w:rsidR="008F12F8" w:rsidRPr="005666F0" w:rsidRDefault="008F12F8" w:rsidP="005666F0">
      <w:pPr>
        <w:jc w:val="both"/>
        <w:outlineLvl w:val="0"/>
        <w:rPr>
          <w:rFonts w:ascii="Arial" w:hAnsi="Arial"/>
          <w:sz w:val="20"/>
        </w:rPr>
      </w:pPr>
    </w:p>
    <w:p w14:paraId="20A7C505" w14:textId="77777777" w:rsidR="005666F0" w:rsidRPr="005666F0" w:rsidRDefault="005666F0" w:rsidP="005666F0">
      <w:pPr>
        <w:pStyle w:val="Subttulo"/>
      </w:pPr>
      <w:r w:rsidRPr="005666F0">
        <w:lastRenderedPageBreak/>
        <w:t>Gastos y otras pérdidas</w:t>
      </w:r>
    </w:p>
    <w:p w14:paraId="5F3E22B6" w14:textId="77777777" w:rsidR="005666F0" w:rsidRPr="005666F0" w:rsidRDefault="005666F0" w:rsidP="005666F0">
      <w:pPr>
        <w:jc w:val="both"/>
        <w:outlineLvl w:val="0"/>
        <w:rPr>
          <w:rFonts w:ascii="Arial" w:hAnsi="Arial"/>
          <w:sz w:val="20"/>
        </w:rPr>
      </w:pPr>
    </w:p>
    <w:p w14:paraId="6DC68E69" w14:textId="2A579F8A" w:rsidR="005666F0" w:rsidRPr="005666F0" w:rsidRDefault="005666F0" w:rsidP="005666F0">
      <w:pPr>
        <w:jc w:val="both"/>
        <w:outlineLvl w:val="0"/>
        <w:rPr>
          <w:rFonts w:ascii="Arial" w:hAnsi="Arial"/>
          <w:sz w:val="20"/>
        </w:rPr>
      </w:pPr>
      <w:r w:rsidRPr="005666F0">
        <w:rPr>
          <w:rFonts w:ascii="Arial" w:hAnsi="Arial"/>
          <w:sz w:val="20"/>
        </w:rPr>
        <w:t xml:space="preserve">Los gastos y otras pérdidas lo integran todas las erogaciones realizadas en la operatividad, los cuales ascienden a </w:t>
      </w:r>
      <w:r w:rsidR="004F6B8B">
        <w:rPr>
          <w:rFonts w:ascii="Arial" w:hAnsi="Arial"/>
          <w:sz w:val="20"/>
        </w:rPr>
        <w:t>3</w:t>
      </w:r>
      <w:r w:rsidRPr="005666F0">
        <w:rPr>
          <w:rFonts w:ascii="Arial" w:hAnsi="Arial"/>
          <w:sz w:val="20"/>
        </w:rPr>
        <w:t xml:space="preserve"> mil </w:t>
      </w:r>
      <w:r w:rsidR="004F6B8B">
        <w:rPr>
          <w:rFonts w:ascii="Arial" w:hAnsi="Arial"/>
          <w:sz w:val="20"/>
        </w:rPr>
        <w:t>734.2</w:t>
      </w:r>
      <w:r w:rsidRPr="005666F0">
        <w:rPr>
          <w:rFonts w:ascii="Arial" w:hAnsi="Arial"/>
          <w:sz w:val="20"/>
        </w:rPr>
        <w:t xml:space="preserve"> millones de pesos, integrados principalmente en los capítulos 1000 servicios personales, 2000 materiales y suministros, 3000 servicios generales y 4000 transferencias, asignac</w:t>
      </w:r>
      <w:r w:rsidR="00D373B8">
        <w:rPr>
          <w:rFonts w:ascii="Arial" w:hAnsi="Arial"/>
          <w:sz w:val="20"/>
        </w:rPr>
        <w:t>iones, subsidios y otras ayudas; así como otros ga</w:t>
      </w:r>
      <w:r w:rsidR="004F6B8B">
        <w:rPr>
          <w:rFonts w:ascii="Arial" w:hAnsi="Arial"/>
          <w:sz w:val="20"/>
        </w:rPr>
        <w:t>stos y pérdidas extraordinarias</w:t>
      </w:r>
      <w:r w:rsidR="00D373B8">
        <w:rPr>
          <w:rFonts w:ascii="Arial" w:hAnsi="Arial"/>
          <w:sz w:val="20"/>
        </w:rPr>
        <w:t>.</w:t>
      </w:r>
    </w:p>
    <w:p w14:paraId="75523A5E" w14:textId="77777777" w:rsidR="005666F0" w:rsidRPr="005666F0" w:rsidRDefault="005666F0" w:rsidP="005666F0">
      <w:pPr>
        <w:jc w:val="both"/>
        <w:outlineLvl w:val="0"/>
        <w:rPr>
          <w:rFonts w:ascii="Arial" w:hAnsi="Arial"/>
          <w:sz w:val="20"/>
        </w:rPr>
      </w:pPr>
    </w:p>
    <w:p w14:paraId="0FA86CB0" w14:textId="77777777" w:rsidR="005666F0" w:rsidRPr="005666F0" w:rsidRDefault="005666F0" w:rsidP="005666F0">
      <w:pPr>
        <w:pStyle w:val="Subttulo"/>
        <w:rPr>
          <w:caps/>
        </w:rPr>
      </w:pPr>
      <w:r w:rsidRPr="005666F0">
        <w:t>Notas al estado de situación financiera</w:t>
      </w:r>
    </w:p>
    <w:p w14:paraId="4B5E684A" w14:textId="77777777" w:rsidR="005666F0" w:rsidRPr="005666F0" w:rsidRDefault="005666F0" w:rsidP="005666F0">
      <w:pPr>
        <w:outlineLvl w:val="0"/>
        <w:rPr>
          <w:rFonts w:ascii="Arial" w:hAnsi="Arial" w:cs="Arial"/>
          <w:b/>
          <w:bCs/>
          <w:sz w:val="20"/>
        </w:rPr>
      </w:pPr>
    </w:p>
    <w:p w14:paraId="7FD3BC3D" w14:textId="77777777" w:rsidR="005666F0" w:rsidRPr="005666F0" w:rsidRDefault="005666F0" w:rsidP="005666F0">
      <w:pPr>
        <w:pStyle w:val="Subttulo"/>
      </w:pPr>
      <w:r w:rsidRPr="005666F0">
        <w:t>Activo</w:t>
      </w:r>
    </w:p>
    <w:p w14:paraId="78E97CCC" w14:textId="77777777" w:rsidR="005666F0" w:rsidRPr="005666F0" w:rsidRDefault="005666F0" w:rsidP="005666F0">
      <w:pPr>
        <w:jc w:val="both"/>
        <w:rPr>
          <w:rFonts w:ascii="Arial" w:hAnsi="Arial" w:cs="Arial"/>
          <w:sz w:val="20"/>
          <w:szCs w:val="20"/>
        </w:rPr>
      </w:pPr>
    </w:p>
    <w:bookmarkEnd w:id="1"/>
    <w:p w14:paraId="30659C11" w14:textId="77777777" w:rsidR="005666F0" w:rsidRPr="005666F0" w:rsidRDefault="005666F0" w:rsidP="005666F0">
      <w:pPr>
        <w:jc w:val="both"/>
        <w:rPr>
          <w:rFonts w:ascii="Arial" w:hAnsi="Arial"/>
          <w:sz w:val="20"/>
        </w:rPr>
      </w:pPr>
      <w:r w:rsidRPr="005666F0">
        <w:rPr>
          <w:rFonts w:ascii="Arial" w:hAnsi="Arial"/>
          <w:sz w:val="20"/>
        </w:rPr>
        <w:t>El activo se compone de los fondos, valores, derechos y bienes cuantificados en términos monetarios, los cuales controla y disponen las Instituciones Públicas de Seguridad Social para la prestación de servicios públicos, éste se integra como sigue:</w:t>
      </w:r>
    </w:p>
    <w:p w14:paraId="4520F8B0" w14:textId="77777777" w:rsidR="005666F0" w:rsidRPr="005666F0" w:rsidRDefault="005666F0" w:rsidP="005666F0">
      <w:pPr>
        <w:jc w:val="both"/>
        <w:outlineLvl w:val="0"/>
        <w:rPr>
          <w:rFonts w:ascii="Arial" w:hAnsi="Arial"/>
          <w:b/>
          <w:bCs/>
          <w:sz w:val="20"/>
        </w:rPr>
      </w:pPr>
    </w:p>
    <w:p w14:paraId="1CF160D7" w14:textId="77777777" w:rsidR="005666F0" w:rsidRPr="005666F0" w:rsidRDefault="005666F0" w:rsidP="005666F0">
      <w:pPr>
        <w:pStyle w:val="Subttulo"/>
      </w:pPr>
      <w:bookmarkStart w:id="2" w:name="_Hlk125467084"/>
      <w:r w:rsidRPr="005666F0">
        <w:t>Circulante</w:t>
      </w:r>
    </w:p>
    <w:bookmarkEnd w:id="2"/>
    <w:p w14:paraId="731CD6F8" w14:textId="77777777" w:rsidR="005666F0" w:rsidRPr="005666F0" w:rsidRDefault="005666F0" w:rsidP="005666F0">
      <w:pPr>
        <w:jc w:val="both"/>
        <w:rPr>
          <w:rFonts w:ascii="Arial" w:eastAsia="Calibri" w:hAnsi="Arial" w:cs="Times New Roman"/>
          <w:sz w:val="20"/>
        </w:rPr>
      </w:pPr>
    </w:p>
    <w:p w14:paraId="346FD125" w14:textId="328264CC" w:rsidR="005666F0" w:rsidRPr="005666F0" w:rsidRDefault="008F12F8" w:rsidP="005666F0">
      <w:pPr>
        <w:jc w:val="center"/>
        <w:rPr>
          <w:rFonts w:ascii="Arial" w:eastAsia="Calibri" w:hAnsi="Arial" w:cs="Times New Roman"/>
          <w:sz w:val="20"/>
        </w:rPr>
      </w:pPr>
      <w:r>
        <w:rPr>
          <w:rFonts w:ascii="Arial" w:eastAsia="Calibri" w:hAnsi="Arial" w:cs="Times New Roman"/>
          <w:noProof/>
          <w:sz w:val="20"/>
        </w:rPr>
        <w:drawing>
          <wp:inline distT="0" distB="0" distL="0" distR="0" wp14:anchorId="633CA947" wp14:editId="1207061E">
            <wp:extent cx="3420110" cy="2755900"/>
            <wp:effectExtent l="0" t="0" r="8890" b="635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0110" cy="2755900"/>
                    </a:xfrm>
                    <a:prstGeom prst="rect">
                      <a:avLst/>
                    </a:prstGeom>
                    <a:noFill/>
                  </pic:spPr>
                </pic:pic>
              </a:graphicData>
            </a:graphic>
          </wp:inline>
        </w:drawing>
      </w:r>
    </w:p>
    <w:p w14:paraId="40B74565" w14:textId="77777777" w:rsidR="005666F0" w:rsidRPr="005666F0" w:rsidRDefault="005666F0" w:rsidP="005666F0">
      <w:pPr>
        <w:jc w:val="both"/>
        <w:rPr>
          <w:rFonts w:ascii="Arial" w:eastAsia="Calibri" w:hAnsi="Arial" w:cs="Times New Roman"/>
          <w:sz w:val="20"/>
        </w:rPr>
      </w:pPr>
    </w:p>
    <w:p w14:paraId="51EDFC12" w14:textId="77777777" w:rsidR="005666F0" w:rsidRPr="005666F0" w:rsidRDefault="005666F0" w:rsidP="005666F0">
      <w:pPr>
        <w:jc w:val="both"/>
        <w:rPr>
          <w:rFonts w:ascii="Arial" w:eastAsia="Calibri" w:hAnsi="Arial" w:cs="Times New Roman"/>
          <w:sz w:val="20"/>
        </w:rPr>
      </w:pPr>
    </w:p>
    <w:p w14:paraId="31EC2A36" w14:textId="77777777" w:rsidR="005666F0" w:rsidRPr="005666F0" w:rsidRDefault="005666F0" w:rsidP="005666F0">
      <w:pPr>
        <w:jc w:val="both"/>
        <w:outlineLvl w:val="0"/>
        <w:rPr>
          <w:rFonts w:ascii="Arial" w:hAnsi="Arial"/>
          <w:b/>
          <w:bCs/>
          <w:i/>
          <w:sz w:val="20"/>
          <w:u w:val="single"/>
        </w:rPr>
      </w:pPr>
      <w:r w:rsidRPr="005666F0">
        <w:rPr>
          <w:rFonts w:ascii="Arial" w:hAnsi="Arial"/>
          <w:b/>
          <w:bCs/>
          <w:i/>
          <w:sz w:val="20"/>
          <w:u w:val="single"/>
        </w:rPr>
        <w:t>Efectivo y equivalentes</w:t>
      </w:r>
    </w:p>
    <w:p w14:paraId="4C1C3421" w14:textId="77777777" w:rsidR="005666F0" w:rsidRPr="005666F0" w:rsidRDefault="005666F0" w:rsidP="005666F0">
      <w:pPr>
        <w:jc w:val="both"/>
        <w:outlineLvl w:val="0"/>
        <w:rPr>
          <w:rFonts w:ascii="Arial" w:hAnsi="Arial"/>
          <w:b/>
          <w:bCs/>
          <w:i/>
          <w:iCs/>
          <w:sz w:val="20"/>
        </w:rPr>
      </w:pPr>
    </w:p>
    <w:p w14:paraId="7108C002" w14:textId="4ADFDB79" w:rsidR="005666F0" w:rsidRPr="005666F0" w:rsidRDefault="005666F0" w:rsidP="005666F0">
      <w:pPr>
        <w:autoSpaceDE w:val="0"/>
        <w:autoSpaceDN w:val="0"/>
        <w:adjustRightInd w:val="0"/>
        <w:jc w:val="both"/>
        <w:rPr>
          <w:rFonts w:ascii="Arial" w:hAnsi="Arial"/>
          <w:sz w:val="20"/>
        </w:rPr>
      </w:pPr>
      <w:r w:rsidRPr="005666F0">
        <w:rPr>
          <w:rFonts w:ascii="Arial" w:hAnsi="Arial"/>
          <w:sz w:val="20"/>
        </w:rPr>
        <w:t xml:space="preserve">Al </w:t>
      </w:r>
      <w:r w:rsidR="004A329F">
        <w:rPr>
          <w:rFonts w:ascii="Arial" w:hAnsi="Arial"/>
          <w:sz w:val="20"/>
        </w:rPr>
        <w:t xml:space="preserve">30 de septiembre </w:t>
      </w:r>
      <w:r w:rsidRPr="005666F0">
        <w:rPr>
          <w:rFonts w:ascii="Arial" w:hAnsi="Arial"/>
          <w:sz w:val="20"/>
        </w:rPr>
        <w:t xml:space="preserve">de 2023, este rubro expone un saldo positivo por </w:t>
      </w:r>
      <w:r w:rsidR="009E7713">
        <w:rPr>
          <w:rFonts w:ascii="Arial" w:hAnsi="Arial"/>
          <w:sz w:val="20"/>
        </w:rPr>
        <w:t>4</w:t>
      </w:r>
      <w:r w:rsidR="004A329F">
        <w:rPr>
          <w:rFonts w:ascii="Arial" w:hAnsi="Arial"/>
          <w:sz w:val="20"/>
        </w:rPr>
        <w:t>16.7</w:t>
      </w:r>
      <w:r w:rsidRPr="005666F0">
        <w:rPr>
          <w:rFonts w:ascii="Arial" w:hAnsi="Arial"/>
          <w:sz w:val="20"/>
        </w:rPr>
        <w:t xml:space="preserve"> millones de pesos  y representa el </w:t>
      </w:r>
      <w:r w:rsidR="004A329F">
        <w:rPr>
          <w:rFonts w:ascii="Arial" w:hAnsi="Arial"/>
          <w:sz w:val="20"/>
        </w:rPr>
        <w:t>54.2</w:t>
      </w:r>
      <w:r w:rsidRPr="005666F0">
        <w:rPr>
          <w:rFonts w:ascii="Arial" w:hAnsi="Arial"/>
          <w:sz w:val="20"/>
        </w:rPr>
        <w:t xml:space="preserve"> % del total del activo circulante se integra por ingresos, obtenid</w:t>
      </w:r>
      <w:r w:rsidR="009E7713">
        <w:rPr>
          <w:rFonts w:ascii="Arial" w:hAnsi="Arial"/>
          <w:sz w:val="20"/>
        </w:rPr>
        <w:t>os por diversos conceptos, c</w:t>
      </w:r>
      <w:r w:rsidRPr="005666F0">
        <w:rPr>
          <w:rFonts w:ascii="Arial" w:hAnsi="Arial"/>
          <w:sz w:val="20"/>
        </w:rPr>
        <w:t>omo: saldos en las cuentas bancarias para la operatividad de las actividades del instituto, fondos de trabajo asignados a funcionarios del instituto y los depósitos en garantía por contratos de arrendamiento de</w:t>
      </w:r>
      <w:r w:rsidR="009E7713">
        <w:rPr>
          <w:rFonts w:ascii="Arial" w:hAnsi="Arial"/>
          <w:sz w:val="20"/>
        </w:rPr>
        <w:t xml:space="preserve"> las unidades médicas y casa geriátrica de Comitán, así como la o</w:t>
      </w:r>
      <w:r w:rsidRPr="005666F0">
        <w:rPr>
          <w:rFonts w:ascii="Arial" w:hAnsi="Arial"/>
          <w:sz w:val="20"/>
        </w:rPr>
        <w:t>ficina de enlace de tercer nivel en la Ciudad de México.</w:t>
      </w:r>
    </w:p>
    <w:p w14:paraId="77BB0DC0" w14:textId="77777777" w:rsidR="005666F0" w:rsidRPr="005666F0" w:rsidRDefault="005666F0" w:rsidP="005666F0">
      <w:pPr>
        <w:autoSpaceDE w:val="0"/>
        <w:autoSpaceDN w:val="0"/>
        <w:adjustRightInd w:val="0"/>
        <w:jc w:val="both"/>
        <w:rPr>
          <w:rFonts w:ascii="Arial" w:hAnsi="Arial"/>
          <w:sz w:val="20"/>
        </w:rPr>
      </w:pPr>
    </w:p>
    <w:p w14:paraId="5E0B76DC" w14:textId="5F615631" w:rsidR="005666F0" w:rsidRPr="005666F0" w:rsidRDefault="008F12F8" w:rsidP="005666F0">
      <w:pPr>
        <w:tabs>
          <w:tab w:val="left" w:pos="1418"/>
        </w:tabs>
        <w:autoSpaceDE w:val="0"/>
        <w:autoSpaceDN w:val="0"/>
        <w:adjustRightInd w:val="0"/>
        <w:jc w:val="center"/>
        <w:rPr>
          <w:rFonts w:ascii="Arial" w:hAnsi="Arial"/>
          <w:b/>
          <w:i/>
          <w:sz w:val="20"/>
        </w:rPr>
      </w:pPr>
      <w:r w:rsidRPr="008F12F8">
        <w:rPr>
          <w:noProof/>
        </w:rPr>
        <w:drawing>
          <wp:inline distT="0" distB="0" distL="0" distR="0" wp14:anchorId="35CE8602" wp14:editId="396B2B1A">
            <wp:extent cx="4371975" cy="1524000"/>
            <wp:effectExtent l="0" t="0" r="9525"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71975" cy="1524000"/>
                    </a:xfrm>
                    <a:prstGeom prst="rect">
                      <a:avLst/>
                    </a:prstGeom>
                    <a:noFill/>
                    <a:ln>
                      <a:noFill/>
                    </a:ln>
                  </pic:spPr>
                </pic:pic>
              </a:graphicData>
            </a:graphic>
          </wp:inline>
        </w:drawing>
      </w:r>
    </w:p>
    <w:p w14:paraId="78DBB65A" w14:textId="77777777" w:rsidR="005666F0" w:rsidRPr="005666F0" w:rsidRDefault="005666F0" w:rsidP="005666F0">
      <w:pPr>
        <w:tabs>
          <w:tab w:val="left" w:pos="1418"/>
        </w:tabs>
        <w:autoSpaceDE w:val="0"/>
        <w:autoSpaceDN w:val="0"/>
        <w:adjustRightInd w:val="0"/>
        <w:jc w:val="both"/>
        <w:rPr>
          <w:rFonts w:ascii="Arial" w:hAnsi="Arial"/>
          <w:b/>
          <w:i/>
          <w:sz w:val="20"/>
        </w:rPr>
      </w:pPr>
    </w:p>
    <w:p w14:paraId="44C5EA82" w14:textId="5BA5CCFF" w:rsidR="005666F0" w:rsidRDefault="005666F0" w:rsidP="005666F0">
      <w:pPr>
        <w:tabs>
          <w:tab w:val="left" w:pos="1418"/>
        </w:tabs>
        <w:autoSpaceDE w:val="0"/>
        <w:autoSpaceDN w:val="0"/>
        <w:adjustRightInd w:val="0"/>
        <w:jc w:val="both"/>
        <w:rPr>
          <w:rFonts w:ascii="Arial" w:hAnsi="Arial"/>
          <w:b/>
          <w:i/>
          <w:sz w:val="20"/>
        </w:rPr>
      </w:pPr>
    </w:p>
    <w:p w14:paraId="02B64522" w14:textId="77777777" w:rsidR="008F12F8" w:rsidRPr="005666F0" w:rsidRDefault="008F12F8" w:rsidP="005666F0">
      <w:pPr>
        <w:tabs>
          <w:tab w:val="left" w:pos="1418"/>
        </w:tabs>
        <w:autoSpaceDE w:val="0"/>
        <w:autoSpaceDN w:val="0"/>
        <w:adjustRightInd w:val="0"/>
        <w:jc w:val="both"/>
        <w:rPr>
          <w:rFonts w:ascii="Arial" w:hAnsi="Arial"/>
          <w:b/>
          <w:i/>
          <w:sz w:val="20"/>
        </w:rPr>
      </w:pPr>
    </w:p>
    <w:p w14:paraId="77C253FE" w14:textId="77777777" w:rsidR="005666F0" w:rsidRPr="005666F0" w:rsidRDefault="005666F0" w:rsidP="005666F0">
      <w:pPr>
        <w:jc w:val="both"/>
        <w:outlineLvl w:val="0"/>
        <w:rPr>
          <w:rFonts w:ascii="Arial" w:hAnsi="Arial"/>
          <w:b/>
          <w:bCs/>
          <w:i/>
          <w:sz w:val="20"/>
          <w:u w:val="single"/>
        </w:rPr>
      </w:pPr>
      <w:r w:rsidRPr="005666F0">
        <w:rPr>
          <w:rFonts w:ascii="Arial" w:hAnsi="Arial"/>
          <w:b/>
          <w:bCs/>
          <w:i/>
          <w:sz w:val="20"/>
          <w:u w:val="single"/>
        </w:rPr>
        <w:lastRenderedPageBreak/>
        <w:t>Derechos a recibir efectivo o equivalentes</w:t>
      </w:r>
    </w:p>
    <w:p w14:paraId="751D1E26" w14:textId="77777777" w:rsidR="005666F0" w:rsidRPr="005666F0" w:rsidRDefault="005666F0" w:rsidP="005666F0">
      <w:pPr>
        <w:tabs>
          <w:tab w:val="left" w:pos="1418"/>
        </w:tabs>
        <w:autoSpaceDE w:val="0"/>
        <w:autoSpaceDN w:val="0"/>
        <w:adjustRightInd w:val="0"/>
        <w:jc w:val="both"/>
        <w:rPr>
          <w:rFonts w:ascii="Arial" w:hAnsi="Arial"/>
          <w:b/>
          <w:i/>
          <w:sz w:val="20"/>
        </w:rPr>
      </w:pPr>
    </w:p>
    <w:p w14:paraId="791A80C7" w14:textId="77777777" w:rsidR="005666F0" w:rsidRPr="005666F0" w:rsidRDefault="005666F0" w:rsidP="005666F0">
      <w:pPr>
        <w:tabs>
          <w:tab w:val="left" w:pos="1418"/>
        </w:tabs>
        <w:autoSpaceDE w:val="0"/>
        <w:autoSpaceDN w:val="0"/>
        <w:adjustRightInd w:val="0"/>
        <w:jc w:val="both"/>
        <w:rPr>
          <w:rFonts w:ascii="Arial" w:hAnsi="Arial"/>
          <w:sz w:val="20"/>
        </w:rPr>
      </w:pPr>
      <w:r w:rsidRPr="005666F0">
        <w:rPr>
          <w:rFonts w:ascii="Arial" w:hAnsi="Arial"/>
          <w:sz w:val="20"/>
        </w:rPr>
        <w:t>Se integra por aportaciones de pensionados, cuotas y aportaciones médicas, recuperaciones de préstamos subsidio de aportaciones federales, 1 % de cuotas y aportaciones para el fondo de préstamos y subsidio al empleo que beneficia a los trabajadores del Instituto sujeto a su acreditamiento contra I.S.R. de Sueldos y Salarios. Así mismo, por fondos revolventes otorgados a las unidades médicas para el funcionamiento y desempeño de sus actividades pendientes de comprobación; de igual manera por recursos sujetos de aplicación y adeudos por diversos conceptos.</w:t>
      </w:r>
    </w:p>
    <w:p w14:paraId="08CB3E91" w14:textId="77777777" w:rsidR="005666F0" w:rsidRPr="005666F0" w:rsidRDefault="005666F0" w:rsidP="005666F0">
      <w:pPr>
        <w:tabs>
          <w:tab w:val="left" w:pos="1418"/>
        </w:tabs>
        <w:autoSpaceDE w:val="0"/>
        <w:autoSpaceDN w:val="0"/>
        <w:adjustRightInd w:val="0"/>
        <w:jc w:val="both"/>
        <w:rPr>
          <w:rFonts w:ascii="Arial" w:hAnsi="Arial"/>
          <w:sz w:val="20"/>
        </w:rPr>
      </w:pPr>
    </w:p>
    <w:p w14:paraId="782C0648" w14:textId="36EDB624" w:rsidR="005666F0" w:rsidRPr="005666F0" w:rsidRDefault="005666F0" w:rsidP="005666F0">
      <w:pPr>
        <w:tabs>
          <w:tab w:val="left" w:pos="1418"/>
        </w:tabs>
        <w:autoSpaceDE w:val="0"/>
        <w:autoSpaceDN w:val="0"/>
        <w:adjustRightInd w:val="0"/>
        <w:jc w:val="both"/>
        <w:rPr>
          <w:rFonts w:ascii="Arial" w:hAnsi="Arial"/>
          <w:sz w:val="20"/>
        </w:rPr>
      </w:pPr>
      <w:r w:rsidRPr="005666F0">
        <w:rPr>
          <w:rFonts w:ascii="Arial" w:hAnsi="Arial"/>
          <w:sz w:val="20"/>
        </w:rPr>
        <w:t xml:space="preserve">Este rubro al </w:t>
      </w:r>
      <w:r w:rsidR="008E371A">
        <w:rPr>
          <w:rFonts w:ascii="Arial" w:hAnsi="Arial"/>
          <w:sz w:val="20"/>
        </w:rPr>
        <w:t xml:space="preserve">30 de </w:t>
      </w:r>
      <w:r w:rsidR="004A329F">
        <w:rPr>
          <w:rFonts w:ascii="Arial" w:hAnsi="Arial"/>
          <w:sz w:val="20"/>
        </w:rPr>
        <w:t xml:space="preserve">septiembre </w:t>
      </w:r>
      <w:r w:rsidR="009E7713">
        <w:rPr>
          <w:rFonts w:ascii="Arial" w:hAnsi="Arial"/>
          <w:sz w:val="20"/>
        </w:rPr>
        <w:t xml:space="preserve">de 2023 asciende a </w:t>
      </w:r>
      <w:r w:rsidR="004A329F">
        <w:rPr>
          <w:rFonts w:ascii="Arial" w:hAnsi="Arial"/>
          <w:sz w:val="20"/>
        </w:rPr>
        <w:t>352.0</w:t>
      </w:r>
      <w:r w:rsidRPr="005666F0">
        <w:rPr>
          <w:rFonts w:ascii="Arial" w:hAnsi="Arial"/>
          <w:sz w:val="20"/>
        </w:rPr>
        <w:t xml:space="preserve"> millones de pesos y representa el  </w:t>
      </w:r>
      <w:r w:rsidR="004A329F">
        <w:rPr>
          <w:rFonts w:ascii="Arial" w:hAnsi="Arial"/>
          <w:sz w:val="20"/>
        </w:rPr>
        <w:t>45.8</w:t>
      </w:r>
      <w:r w:rsidRPr="005666F0">
        <w:rPr>
          <w:rFonts w:ascii="Arial" w:hAnsi="Arial"/>
          <w:sz w:val="20"/>
        </w:rPr>
        <w:t xml:space="preserve"> % del total del activo circulante.</w:t>
      </w:r>
    </w:p>
    <w:p w14:paraId="4BF9EE8B" w14:textId="77777777" w:rsidR="005666F0" w:rsidRPr="005666F0" w:rsidRDefault="005666F0" w:rsidP="005666F0">
      <w:pPr>
        <w:tabs>
          <w:tab w:val="left" w:pos="1418"/>
        </w:tabs>
        <w:autoSpaceDE w:val="0"/>
        <w:autoSpaceDN w:val="0"/>
        <w:adjustRightInd w:val="0"/>
        <w:jc w:val="both"/>
        <w:rPr>
          <w:rFonts w:ascii="Arial" w:hAnsi="Arial"/>
          <w:sz w:val="20"/>
        </w:rPr>
      </w:pPr>
    </w:p>
    <w:p w14:paraId="4E412409" w14:textId="2C76B385" w:rsidR="005666F0" w:rsidRPr="005666F0" w:rsidRDefault="008F12F8" w:rsidP="005666F0">
      <w:pPr>
        <w:autoSpaceDE w:val="0"/>
        <w:autoSpaceDN w:val="0"/>
        <w:adjustRightInd w:val="0"/>
        <w:jc w:val="center"/>
        <w:rPr>
          <w:rFonts w:ascii="Arial" w:hAnsi="Arial"/>
          <w:sz w:val="20"/>
        </w:rPr>
      </w:pPr>
      <w:r w:rsidRPr="008F12F8">
        <w:rPr>
          <w:noProof/>
        </w:rPr>
        <w:drawing>
          <wp:inline distT="0" distB="0" distL="0" distR="0" wp14:anchorId="5F0E0E8A" wp14:editId="1A398A2E">
            <wp:extent cx="4371975" cy="1524000"/>
            <wp:effectExtent l="0" t="0" r="9525"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1975" cy="1524000"/>
                    </a:xfrm>
                    <a:prstGeom prst="rect">
                      <a:avLst/>
                    </a:prstGeom>
                    <a:noFill/>
                    <a:ln>
                      <a:noFill/>
                    </a:ln>
                  </pic:spPr>
                </pic:pic>
              </a:graphicData>
            </a:graphic>
          </wp:inline>
        </w:drawing>
      </w:r>
    </w:p>
    <w:p w14:paraId="3410496F" w14:textId="77777777" w:rsidR="005666F0" w:rsidRPr="005666F0" w:rsidRDefault="005666F0" w:rsidP="005666F0">
      <w:pPr>
        <w:autoSpaceDE w:val="0"/>
        <w:autoSpaceDN w:val="0"/>
        <w:adjustRightInd w:val="0"/>
        <w:jc w:val="both"/>
        <w:rPr>
          <w:rFonts w:ascii="Arial" w:hAnsi="Arial" w:cs="Arial"/>
          <w:b/>
          <w:bCs/>
          <w:sz w:val="20"/>
          <w:szCs w:val="20"/>
        </w:rPr>
      </w:pPr>
    </w:p>
    <w:p w14:paraId="6FDDEAD5" w14:textId="77777777" w:rsidR="005666F0" w:rsidRPr="005666F0" w:rsidRDefault="005666F0" w:rsidP="005666F0">
      <w:pPr>
        <w:autoSpaceDE w:val="0"/>
        <w:autoSpaceDN w:val="0"/>
        <w:adjustRightInd w:val="0"/>
        <w:jc w:val="both"/>
        <w:rPr>
          <w:rFonts w:ascii="Arial" w:hAnsi="Arial" w:cs="Arial"/>
          <w:b/>
          <w:bCs/>
          <w:sz w:val="20"/>
          <w:szCs w:val="20"/>
        </w:rPr>
      </w:pPr>
    </w:p>
    <w:p w14:paraId="2F86E078" w14:textId="77777777" w:rsidR="005666F0" w:rsidRPr="005666F0" w:rsidRDefault="005666F0" w:rsidP="005666F0">
      <w:pPr>
        <w:pStyle w:val="Subttulo"/>
      </w:pPr>
      <w:r w:rsidRPr="005666F0">
        <w:t>No circulante</w:t>
      </w:r>
    </w:p>
    <w:p w14:paraId="645E356E" w14:textId="77777777" w:rsidR="005666F0" w:rsidRPr="005666F0" w:rsidRDefault="005666F0" w:rsidP="005666F0">
      <w:pPr>
        <w:autoSpaceDE w:val="0"/>
        <w:autoSpaceDN w:val="0"/>
        <w:adjustRightInd w:val="0"/>
        <w:jc w:val="both"/>
        <w:rPr>
          <w:rFonts w:ascii="Arial" w:hAnsi="Arial" w:cs="Arial"/>
          <w:b/>
          <w:bCs/>
          <w:sz w:val="20"/>
          <w:szCs w:val="20"/>
        </w:rPr>
      </w:pPr>
    </w:p>
    <w:p w14:paraId="0D34B500" w14:textId="6729CC54" w:rsidR="005666F0" w:rsidRPr="005666F0" w:rsidRDefault="00A33F33" w:rsidP="005666F0">
      <w:pPr>
        <w:autoSpaceDE w:val="0"/>
        <w:autoSpaceDN w:val="0"/>
        <w:adjustRightInd w:val="0"/>
        <w:jc w:val="center"/>
        <w:rPr>
          <w:rFonts w:ascii="Arial" w:hAnsi="Arial"/>
          <w:b/>
          <w:bCs/>
          <w:noProof/>
          <w:sz w:val="20"/>
          <w:lang w:eastAsia="es-MX"/>
        </w:rPr>
      </w:pPr>
      <w:r>
        <w:rPr>
          <w:rFonts w:ascii="Arial" w:hAnsi="Arial"/>
          <w:b/>
          <w:bCs/>
          <w:noProof/>
          <w:sz w:val="20"/>
          <w:lang w:eastAsia="es-MX"/>
        </w:rPr>
        <w:drawing>
          <wp:inline distT="0" distB="0" distL="0" distR="0" wp14:anchorId="52CA080C" wp14:editId="3D1D6510">
            <wp:extent cx="3905250" cy="3544648"/>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12743" cy="3551449"/>
                    </a:xfrm>
                    <a:prstGeom prst="rect">
                      <a:avLst/>
                    </a:prstGeom>
                    <a:noFill/>
                  </pic:spPr>
                </pic:pic>
              </a:graphicData>
            </a:graphic>
          </wp:inline>
        </w:drawing>
      </w:r>
    </w:p>
    <w:p w14:paraId="3A107407" w14:textId="77777777" w:rsidR="005666F0" w:rsidRPr="005666F0" w:rsidRDefault="005666F0" w:rsidP="005666F0">
      <w:pPr>
        <w:autoSpaceDE w:val="0"/>
        <w:autoSpaceDN w:val="0"/>
        <w:adjustRightInd w:val="0"/>
        <w:jc w:val="both"/>
        <w:rPr>
          <w:rFonts w:ascii="Arial" w:hAnsi="Arial"/>
          <w:b/>
          <w:bCs/>
          <w:noProof/>
          <w:sz w:val="20"/>
          <w:lang w:eastAsia="es-MX"/>
        </w:rPr>
      </w:pPr>
    </w:p>
    <w:p w14:paraId="243FFEC5" w14:textId="77777777" w:rsidR="005666F0" w:rsidRPr="005666F0" w:rsidRDefault="005666F0" w:rsidP="005666F0">
      <w:pPr>
        <w:autoSpaceDE w:val="0"/>
        <w:autoSpaceDN w:val="0"/>
        <w:adjustRightInd w:val="0"/>
        <w:jc w:val="both"/>
        <w:rPr>
          <w:rFonts w:ascii="Arial" w:hAnsi="Arial"/>
          <w:b/>
          <w:bCs/>
          <w:noProof/>
          <w:sz w:val="20"/>
          <w:lang w:eastAsia="es-MX"/>
        </w:rPr>
      </w:pPr>
    </w:p>
    <w:p w14:paraId="461D9752" w14:textId="77777777" w:rsidR="005666F0" w:rsidRPr="005666F0" w:rsidRDefault="005666F0" w:rsidP="005666F0">
      <w:pPr>
        <w:jc w:val="both"/>
        <w:outlineLvl w:val="0"/>
        <w:rPr>
          <w:rFonts w:ascii="Arial" w:hAnsi="Arial"/>
          <w:b/>
          <w:bCs/>
          <w:i/>
          <w:sz w:val="20"/>
          <w:u w:val="single"/>
        </w:rPr>
      </w:pPr>
      <w:r w:rsidRPr="005666F0">
        <w:rPr>
          <w:rFonts w:ascii="Arial" w:hAnsi="Arial"/>
          <w:b/>
          <w:bCs/>
          <w:i/>
          <w:sz w:val="20"/>
          <w:u w:val="single"/>
        </w:rPr>
        <w:t>Inversiones financieras a largo plazo</w:t>
      </w:r>
    </w:p>
    <w:p w14:paraId="7842F0C3" w14:textId="77777777" w:rsidR="005666F0" w:rsidRPr="005666F0" w:rsidRDefault="005666F0" w:rsidP="005666F0">
      <w:pPr>
        <w:jc w:val="both"/>
        <w:rPr>
          <w:rFonts w:ascii="Arial" w:hAnsi="Arial"/>
          <w:sz w:val="20"/>
        </w:rPr>
      </w:pPr>
    </w:p>
    <w:p w14:paraId="3B1B7016" w14:textId="79D8E0C4" w:rsidR="005666F0" w:rsidRPr="005666F0" w:rsidRDefault="005666F0" w:rsidP="005666F0">
      <w:pPr>
        <w:jc w:val="both"/>
        <w:rPr>
          <w:rFonts w:ascii="Arial" w:hAnsi="Arial"/>
          <w:sz w:val="20"/>
        </w:rPr>
      </w:pPr>
      <w:r w:rsidRPr="005666F0">
        <w:rPr>
          <w:rFonts w:ascii="Arial" w:hAnsi="Arial"/>
          <w:sz w:val="20"/>
        </w:rPr>
        <w:t xml:space="preserve">El saldo de este rubro al periodo que se informa ascienda a </w:t>
      </w:r>
      <w:r w:rsidR="00D96093">
        <w:rPr>
          <w:rFonts w:ascii="Arial" w:hAnsi="Arial"/>
          <w:sz w:val="20"/>
        </w:rPr>
        <w:t>7</w:t>
      </w:r>
      <w:r w:rsidR="004A329F">
        <w:rPr>
          <w:rFonts w:ascii="Arial" w:hAnsi="Arial"/>
          <w:sz w:val="20"/>
        </w:rPr>
        <w:t>91.0</w:t>
      </w:r>
      <w:r w:rsidRPr="005666F0">
        <w:rPr>
          <w:rFonts w:ascii="Arial" w:hAnsi="Arial"/>
          <w:sz w:val="20"/>
        </w:rPr>
        <w:t xml:space="preserve"> millones de pesos, mismo que representa el </w:t>
      </w:r>
      <w:r w:rsidR="00977EA3">
        <w:rPr>
          <w:rFonts w:ascii="Arial" w:hAnsi="Arial"/>
          <w:sz w:val="20"/>
        </w:rPr>
        <w:t xml:space="preserve">37.7 </w:t>
      </w:r>
      <w:r w:rsidRPr="005666F0">
        <w:rPr>
          <w:rFonts w:ascii="Arial" w:hAnsi="Arial"/>
          <w:sz w:val="20"/>
        </w:rPr>
        <w:t>% del activo no circulante;  integrado por el fondo de fideicomiso de pensiones y jubilaciones el cual considera las cuotas y aportaciones mensuales, la aplicación corresponde al 5 % de cuotas sobre sueldos de los trabajadores en transición y 13 % de los de nueva generación, el 3</w:t>
      </w:r>
      <w:r w:rsidR="00977EA3">
        <w:rPr>
          <w:rFonts w:ascii="Arial" w:hAnsi="Arial"/>
          <w:sz w:val="20"/>
        </w:rPr>
        <w:t>2</w:t>
      </w:r>
      <w:r w:rsidRPr="005666F0">
        <w:rPr>
          <w:rFonts w:ascii="Arial" w:hAnsi="Arial"/>
          <w:sz w:val="20"/>
        </w:rPr>
        <w:t xml:space="preserve"> % de aportaciones del gobierno de los tr</w:t>
      </w:r>
      <w:r w:rsidR="00977EA3">
        <w:rPr>
          <w:rFonts w:ascii="Arial" w:hAnsi="Arial"/>
          <w:sz w:val="20"/>
        </w:rPr>
        <w:t>abajadores en transición y el 32</w:t>
      </w:r>
      <w:r w:rsidRPr="005666F0">
        <w:rPr>
          <w:rFonts w:ascii="Arial" w:hAnsi="Arial"/>
          <w:sz w:val="20"/>
        </w:rPr>
        <w:t xml:space="preserve"> % de los trabajadores de nueva generación del sector; magisterio, burocracia e ISSTECH; así como los intereses que </w:t>
      </w:r>
      <w:r w:rsidRPr="005666F0">
        <w:rPr>
          <w:rFonts w:ascii="Arial" w:hAnsi="Arial"/>
          <w:sz w:val="20"/>
        </w:rPr>
        <w:lastRenderedPageBreak/>
        <w:t>generan las inversiones en las casas de bolsa, e intereses generados por la revolvencia  de los préstamos fideicomiso; recursos que son de exclusividad para la operatividad de los Pensionados y Jubilados, del sector Magisterio, Burocracia e ISSTECH.</w:t>
      </w:r>
    </w:p>
    <w:p w14:paraId="26A7D097" w14:textId="77777777" w:rsidR="005666F0" w:rsidRPr="005666F0" w:rsidRDefault="005666F0" w:rsidP="005666F0">
      <w:pPr>
        <w:jc w:val="both"/>
        <w:rPr>
          <w:rFonts w:ascii="Arial" w:hAnsi="Arial"/>
          <w:sz w:val="20"/>
        </w:rPr>
      </w:pPr>
    </w:p>
    <w:p w14:paraId="0EF9E71B" w14:textId="43FC596D" w:rsidR="005666F0" w:rsidRPr="005666F0" w:rsidRDefault="00A33F33" w:rsidP="005666F0">
      <w:pPr>
        <w:tabs>
          <w:tab w:val="left" w:pos="1418"/>
        </w:tabs>
        <w:jc w:val="center"/>
        <w:rPr>
          <w:rFonts w:ascii="Arial" w:hAnsi="Arial"/>
          <w:sz w:val="20"/>
        </w:rPr>
      </w:pPr>
      <w:r w:rsidRPr="00A33F33">
        <w:rPr>
          <w:noProof/>
        </w:rPr>
        <w:drawing>
          <wp:inline distT="0" distB="0" distL="0" distR="0" wp14:anchorId="6899B316" wp14:editId="101D02AD">
            <wp:extent cx="4371975" cy="1143000"/>
            <wp:effectExtent l="0" t="0" r="9525"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71975" cy="1143000"/>
                    </a:xfrm>
                    <a:prstGeom prst="rect">
                      <a:avLst/>
                    </a:prstGeom>
                    <a:noFill/>
                    <a:ln>
                      <a:noFill/>
                    </a:ln>
                  </pic:spPr>
                </pic:pic>
              </a:graphicData>
            </a:graphic>
          </wp:inline>
        </w:drawing>
      </w:r>
    </w:p>
    <w:p w14:paraId="2423BDC5" w14:textId="77777777" w:rsidR="005666F0" w:rsidRPr="005666F0" w:rsidRDefault="005666F0" w:rsidP="005666F0">
      <w:pPr>
        <w:tabs>
          <w:tab w:val="left" w:pos="1418"/>
        </w:tabs>
        <w:jc w:val="both"/>
        <w:rPr>
          <w:rFonts w:ascii="Arial" w:hAnsi="Arial"/>
          <w:sz w:val="20"/>
        </w:rPr>
      </w:pPr>
    </w:p>
    <w:p w14:paraId="0A33E292" w14:textId="77777777" w:rsidR="005666F0" w:rsidRPr="005666F0" w:rsidRDefault="005666F0" w:rsidP="005666F0">
      <w:pPr>
        <w:tabs>
          <w:tab w:val="left" w:pos="1418"/>
        </w:tabs>
        <w:autoSpaceDE w:val="0"/>
        <w:autoSpaceDN w:val="0"/>
        <w:adjustRightInd w:val="0"/>
        <w:jc w:val="both"/>
        <w:rPr>
          <w:rFonts w:ascii="Arial" w:hAnsi="Arial"/>
          <w:b/>
          <w:i/>
          <w:color w:val="B09A5B"/>
          <w:sz w:val="20"/>
        </w:rPr>
      </w:pPr>
    </w:p>
    <w:p w14:paraId="0387B0C4" w14:textId="77777777" w:rsidR="005666F0" w:rsidRPr="005666F0" w:rsidRDefault="005666F0" w:rsidP="005666F0">
      <w:pPr>
        <w:jc w:val="both"/>
        <w:outlineLvl w:val="0"/>
        <w:rPr>
          <w:rFonts w:ascii="Arial" w:hAnsi="Arial"/>
          <w:b/>
          <w:bCs/>
          <w:i/>
          <w:sz w:val="20"/>
          <w:u w:val="single"/>
        </w:rPr>
      </w:pPr>
      <w:r w:rsidRPr="005666F0">
        <w:rPr>
          <w:rFonts w:ascii="Arial" w:hAnsi="Arial"/>
          <w:b/>
          <w:bCs/>
          <w:i/>
          <w:sz w:val="20"/>
          <w:u w:val="single"/>
        </w:rPr>
        <w:t>Derechos a recibir efectivo o equivalentes a largo plazo</w:t>
      </w:r>
    </w:p>
    <w:p w14:paraId="07950BC0" w14:textId="77777777" w:rsidR="005666F0" w:rsidRPr="005666F0" w:rsidRDefault="005666F0" w:rsidP="005666F0">
      <w:pPr>
        <w:autoSpaceDE w:val="0"/>
        <w:autoSpaceDN w:val="0"/>
        <w:adjustRightInd w:val="0"/>
        <w:jc w:val="both"/>
        <w:rPr>
          <w:rFonts w:ascii="Arial" w:hAnsi="Arial"/>
          <w:sz w:val="20"/>
        </w:rPr>
      </w:pPr>
    </w:p>
    <w:p w14:paraId="7BF06F3B" w14:textId="344A8649" w:rsidR="005666F0" w:rsidRPr="005666F0" w:rsidRDefault="005666F0" w:rsidP="005666F0">
      <w:pPr>
        <w:spacing w:line="100" w:lineRule="atLeast"/>
        <w:jc w:val="both"/>
        <w:rPr>
          <w:rFonts w:ascii="Arial" w:hAnsi="Arial"/>
          <w:sz w:val="20"/>
        </w:rPr>
      </w:pPr>
      <w:r w:rsidRPr="005666F0">
        <w:rPr>
          <w:rFonts w:ascii="Arial" w:hAnsi="Arial"/>
          <w:sz w:val="20"/>
        </w:rPr>
        <w:t xml:space="preserve">Este rubro del activo al </w:t>
      </w:r>
      <w:r w:rsidR="008E371A">
        <w:rPr>
          <w:rFonts w:ascii="Arial" w:hAnsi="Arial"/>
          <w:sz w:val="20"/>
        </w:rPr>
        <w:t xml:space="preserve">30 de </w:t>
      </w:r>
      <w:r w:rsidR="00977EA3">
        <w:rPr>
          <w:rFonts w:ascii="Arial" w:hAnsi="Arial"/>
          <w:sz w:val="20"/>
        </w:rPr>
        <w:t xml:space="preserve">septiembre </w:t>
      </w:r>
      <w:r w:rsidRPr="005666F0">
        <w:rPr>
          <w:rFonts w:ascii="Arial" w:hAnsi="Arial"/>
          <w:sz w:val="20"/>
        </w:rPr>
        <w:t xml:space="preserve">de 2023 asciende a </w:t>
      </w:r>
      <w:r w:rsidR="00977EA3">
        <w:rPr>
          <w:rFonts w:ascii="Arial" w:hAnsi="Arial"/>
          <w:sz w:val="20"/>
        </w:rPr>
        <w:t>915.6</w:t>
      </w:r>
      <w:r w:rsidRPr="005666F0">
        <w:rPr>
          <w:rFonts w:ascii="Arial" w:hAnsi="Arial"/>
          <w:sz w:val="20"/>
        </w:rPr>
        <w:t xml:space="preserve"> millones de pesos y representa el </w:t>
      </w:r>
      <w:r w:rsidR="00977EA3">
        <w:rPr>
          <w:rFonts w:ascii="Arial" w:hAnsi="Arial"/>
          <w:sz w:val="20"/>
        </w:rPr>
        <w:t>43.7</w:t>
      </w:r>
      <w:r w:rsidRPr="005666F0">
        <w:rPr>
          <w:rFonts w:ascii="Arial" w:hAnsi="Arial"/>
          <w:sz w:val="20"/>
        </w:rPr>
        <w:t xml:space="preserve"> % del activo no circulante, se integra por 4 y 5 % de aportaciones para el servicio médico de pensionados, subsidio para el pago de nómina de pensionados del sector policía, subsidio para medicamentos pendiente de recibir de la Secretaría de Hacienda, Así mismo, por las ministraciones otorgadas a las unidades médicas para el funcionamiento y desempeño de sus actividades pendientes de comprobación, recursos sujetos de aplicación y adeudos por diversos conceptos.</w:t>
      </w:r>
    </w:p>
    <w:p w14:paraId="51E82A43" w14:textId="77777777" w:rsidR="005666F0" w:rsidRPr="005666F0" w:rsidRDefault="005666F0" w:rsidP="005666F0">
      <w:pPr>
        <w:spacing w:line="100" w:lineRule="atLeast"/>
        <w:jc w:val="both"/>
        <w:rPr>
          <w:rFonts w:ascii="Arial" w:hAnsi="Arial"/>
          <w:sz w:val="20"/>
        </w:rPr>
      </w:pPr>
    </w:p>
    <w:p w14:paraId="52AA21AF" w14:textId="77777777" w:rsidR="005666F0" w:rsidRPr="005666F0" w:rsidRDefault="005666F0" w:rsidP="005666F0">
      <w:pPr>
        <w:spacing w:line="100" w:lineRule="atLeast"/>
        <w:jc w:val="both"/>
        <w:rPr>
          <w:rFonts w:ascii="Arial" w:hAnsi="Arial"/>
          <w:sz w:val="20"/>
        </w:rPr>
      </w:pPr>
      <w:r w:rsidRPr="005666F0">
        <w:rPr>
          <w:rFonts w:ascii="Arial" w:hAnsi="Arial"/>
          <w:sz w:val="20"/>
        </w:rPr>
        <w:t>Además, por préstamos otorgados a derechohabientes del ISSTECH, hipotecarios; que son destinados a la adquisición de viviendas, construcción, pago de pasivo y/o liberación de gravámenes de bienes inmuebles, con plazo hasta de 15 años y por los préstamos a corto plazo y especiales se otorgan con una recuperación hasta de 3 años de plazo, así como fondo de garantía de préstamos hipotecarios y préstamos especiales con una recuperación hasta 5 años.</w:t>
      </w:r>
    </w:p>
    <w:p w14:paraId="63DB0C24" w14:textId="77777777" w:rsidR="005666F0" w:rsidRPr="005666F0" w:rsidRDefault="005666F0" w:rsidP="005666F0">
      <w:pPr>
        <w:spacing w:line="100" w:lineRule="atLeast"/>
        <w:jc w:val="both"/>
        <w:rPr>
          <w:rFonts w:ascii="Arial" w:hAnsi="Arial"/>
          <w:sz w:val="20"/>
          <w:highlight w:val="yellow"/>
        </w:rPr>
      </w:pPr>
    </w:p>
    <w:p w14:paraId="656DAB8D" w14:textId="6BB6EC5A" w:rsidR="005666F0" w:rsidRPr="005666F0" w:rsidRDefault="00A33F33" w:rsidP="005666F0">
      <w:pPr>
        <w:tabs>
          <w:tab w:val="left" w:pos="1418"/>
        </w:tabs>
        <w:autoSpaceDE w:val="0"/>
        <w:autoSpaceDN w:val="0"/>
        <w:adjustRightInd w:val="0"/>
        <w:jc w:val="center"/>
        <w:rPr>
          <w:rFonts w:ascii="Arial" w:hAnsi="Arial"/>
          <w:sz w:val="20"/>
        </w:rPr>
      </w:pPr>
      <w:r w:rsidRPr="00A33F33">
        <w:rPr>
          <w:noProof/>
        </w:rPr>
        <w:drawing>
          <wp:inline distT="0" distB="0" distL="0" distR="0" wp14:anchorId="486DAA91" wp14:editId="2C30EB12">
            <wp:extent cx="4371975" cy="1390650"/>
            <wp:effectExtent l="0" t="0" r="9525"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71975" cy="1390650"/>
                    </a:xfrm>
                    <a:prstGeom prst="rect">
                      <a:avLst/>
                    </a:prstGeom>
                    <a:noFill/>
                    <a:ln>
                      <a:noFill/>
                    </a:ln>
                  </pic:spPr>
                </pic:pic>
              </a:graphicData>
            </a:graphic>
          </wp:inline>
        </w:drawing>
      </w:r>
    </w:p>
    <w:p w14:paraId="3B5B1E55" w14:textId="77777777" w:rsidR="005666F0" w:rsidRPr="005666F0" w:rsidRDefault="005666F0" w:rsidP="005666F0">
      <w:pPr>
        <w:tabs>
          <w:tab w:val="left" w:pos="1418"/>
        </w:tabs>
        <w:autoSpaceDE w:val="0"/>
        <w:autoSpaceDN w:val="0"/>
        <w:adjustRightInd w:val="0"/>
        <w:jc w:val="both"/>
        <w:rPr>
          <w:rFonts w:ascii="Arial" w:hAnsi="Arial"/>
          <w:b/>
          <w:i/>
          <w:sz w:val="20"/>
        </w:rPr>
      </w:pPr>
    </w:p>
    <w:p w14:paraId="31A7821D" w14:textId="77777777" w:rsidR="005666F0" w:rsidRPr="005666F0" w:rsidRDefault="005666F0" w:rsidP="005666F0">
      <w:pPr>
        <w:tabs>
          <w:tab w:val="left" w:pos="1418"/>
        </w:tabs>
        <w:autoSpaceDE w:val="0"/>
        <w:autoSpaceDN w:val="0"/>
        <w:adjustRightInd w:val="0"/>
        <w:jc w:val="both"/>
        <w:rPr>
          <w:rFonts w:ascii="Arial" w:hAnsi="Arial"/>
          <w:b/>
          <w:i/>
          <w:sz w:val="20"/>
        </w:rPr>
      </w:pPr>
    </w:p>
    <w:p w14:paraId="02376735" w14:textId="77777777" w:rsidR="005666F0" w:rsidRPr="005666F0" w:rsidRDefault="005666F0" w:rsidP="005666F0">
      <w:pPr>
        <w:jc w:val="both"/>
        <w:outlineLvl w:val="0"/>
        <w:rPr>
          <w:rFonts w:ascii="Arial" w:hAnsi="Arial"/>
          <w:b/>
          <w:bCs/>
          <w:i/>
          <w:sz w:val="20"/>
          <w:u w:val="single"/>
        </w:rPr>
      </w:pPr>
      <w:r w:rsidRPr="005666F0">
        <w:rPr>
          <w:rFonts w:ascii="Arial" w:hAnsi="Arial"/>
          <w:b/>
          <w:bCs/>
          <w:i/>
          <w:sz w:val="20"/>
          <w:u w:val="single"/>
        </w:rPr>
        <w:t>Bienes inmuebles, infraestructura y construcciones en proceso</w:t>
      </w:r>
    </w:p>
    <w:p w14:paraId="227F1979" w14:textId="77777777" w:rsidR="005666F0" w:rsidRPr="005666F0" w:rsidRDefault="005666F0" w:rsidP="005666F0">
      <w:pPr>
        <w:jc w:val="both"/>
        <w:rPr>
          <w:rFonts w:ascii="Arial" w:hAnsi="Arial"/>
          <w:sz w:val="20"/>
        </w:rPr>
      </w:pPr>
    </w:p>
    <w:p w14:paraId="0100F9CD" w14:textId="77777777" w:rsidR="005666F0" w:rsidRPr="005666F0" w:rsidRDefault="005666F0" w:rsidP="005666F0">
      <w:pPr>
        <w:jc w:val="both"/>
        <w:rPr>
          <w:rFonts w:ascii="Arial" w:hAnsi="Arial"/>
          <w:sz w:val="20"/>
        </w:rPr>
      </w:pPr>
      <w:r w:rsidRPr="005666F0">
        <w:rPr>
          <w:rFonts w:ascii="Arial" w:hAnsi="Arial"/>
          <w:sz w:val="20"/>
        </w:rPr>
        <w:t>Este rubro del activo refleja la cifra de 191.3 millones de pesos y se integra de las propiedades que tiene el instituto en el estado de Chiapas y que ocupan sus oficinas administrativas, clínicas hospitales, coordinaciones médicas y centro deportivo ISSTECH adquiridas con recursos propios y mediante donación.</w:t>
      </w:r>
    </w:p>
    <w:p w14:paraId="1D7BD27D" w14:textId="77777777" w:rsidR="005666F0" w:rsidRPr="005666F0" w:rsidRDefault="005666F0" w:rsidP="005666F0">
      <w:pPr>
        <w:rPr>
          <w:rFonts w:ascii="Arial" w:hAnsi="Arial"/>
          <w:sz w:val="20"/>
          <w:highlight w:val="yellow"/>
        </w:rPr>
      </w:pPr>
    </w:p>
    <w:p w14:paraId="3246D4E9" w14:textId="367BE4CF" w:rsidR="005666F0" w:rsidRPr="005666F0" w:rsidRDefault="005666F0" w:rsidP="005666F0">
      <w:pPr>
        <w:rPr>
          <w:rFonts w:ascii="Arial" w:hAnsi="Arial"/>
          <w:sz w:val="20"/>
        </w:rPr>
      </w:pPr>
      <w:r w:rsidRPr="005666F0">
        <w:rPr>
          <w:rFonts w:ascii="Arial" w:hAnsi="Arial"/>
          <w:sz w:val="20"/>
        </w:rPr>
        <w:t xml:space="preserve">Del total del activo no circulante al </w:t>
      </w:r>
      <w:r w:rsidR="00977EA3">
        <w:rPr>
          <w:rFonts w:ascii="Arial" w:hAnsi="Arial"/>
          <w:sz w:val="20"/>
        </w:rPr>
        <w:t>30 de septiembre</w:t>
      </w:r>
      <w:r w:rsidRPr="005666F0">
        <w:rPr>
          <w:rFonts w:ascii="Arial" w:hAnsi="Arial"/>
          <w:sz w:val="20"/>
        </w:rPr>
        <w:t xml:space="preserve"> de 20</w:t>
      </w:r>
      <w:r w:rsidR="00977EA3">
        <w:rPr>
          <w:rFonts w:ascii="Arial" w:hAnsi="Arial"/>
          <w:sz w:val="20"/>
        </w:rPr>
        <w:t>23, este rubro representa el 9.1</w:t>
      </w:r>
      <w:r w:rsidRPr="005666F0">
        <w:rPr>
          <w:rFonts w:ascii="Arial" w:hAnsi="Arial"/>
          <w:sz w:val="20"/>
        </w:rPr>
        <w:t xml:space="preserve"> %.</w:t>
      </w:r>
    </w:p>
    <w:p w14:paraId="6262C945" w14:textId="77777777" w:rsidR="005666F0" w:rsidRPr="005666F0" w:rsidRDefault="005666F0" w:rsidP="005666F0">
      <w:pPr>
        <w:rPr>
          <w:rFonts w:ascii="Arial" w:hAnsi="Arial"/>
          <w:sz w:val="20"/>
        </w:rPr>
      </w:pPr>
    </w:p>
    <w:p w14:paraId="02D03D5D" w14:textId="7028226C" w:rsidR="005666F0" w:rsidRPr="005666F0" w:rsidRDefault="00A33F33" w:rsidP="005666F0">
      <w:pPr>
        <w:jc w:val="center"/>
        <w:rPr>
          <w:rFonts w:ascii="Arial" w:hAnsi="Arial"/>
          <w:sz w:val="20"/>
        </w:rPr>
      </w:pPr>
      <w:r w:rsidRPr="00A33F33">
        <w:rPr>
          <w:noProof/>
        </w:rPr>
        <w:drawing>
          <wp:inline distT="0" distB="0" distL="0" distR="0" wp14:anchorId="5AAA335E" wp14:editId="06BF3385">
            <wp:extent cx="4371975" cy="1333500"/>
            <wp:effectExtent l="0" t="0" r="9525"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71975" cy="1333500"/>
                    </a:xfrm>
                    <a:prstGeom prst="rect">
                      <a:avLst/>
                    </a:prstGeom>
                    <a:noFill/>
                    <a:ln>
                      <a:noFill/>
                    </a:ln>
                  </pic:spPr>
                </pic:pic>
              </a:graphicData>
            </a:graphic>
          </wp:inline>
        </w:drawing>
      </w:r>
    </w:p>
    <w:p w14:paraId="09CEDA20" w14:textId="77777777" w:rsidR="005666F0" w:rsidRPr="005666F0" w:rsidRDefault="005666F0" w:rsidP="005666F0">
      <w:pPr>
        <w:tabs>
          <w:tab w:val="left" w:pos="1418"/>
        </w:tabs>
        <w:autoSpaceDE w:val="0"/>
        <w:autoSpaceDN w:val="0"/>
        <w:adjustRightInd w:val="0"/>
        <w:jc w:val="both"/>
        <w:rPr>
          <w:rFonts w:ascii="Arial" w:hAnsi="Arial"/>
          <w:b/>
          <w:i/>
          <w:sz w:val="20"/>
        </w:rPr>
      </w:pPr>
    </w:p>
    <w:p w14:paraId="5F92C016" w14:textId="77777777" w:rsidR="005666F0" w:rsidRPr="005666F0" w:rsidRDefault="005666F0" w:rsidP="005666F0">
      <w:pPr>
        <w:tabs>
          <w:tab w:val="left" w:pos="1418"/>
        </w:tabs>
        <w:autoSpaceDE w:val="0"/>
        <w:autoSpaceDN w:val="0"/>
        <w:adjustRightInd w:val="0"/>
        <w:jc w:val="both"/>
        <w:rPr>
          <w:rFonts w:ascii="Arial" w:hAnsi="Arial"/>
          <w:b/>
          <w:i/>
          <w:sz w:val="20"/>
        </w:rPr>
      </w:pPr>
    </w:p>
    <w:p w14:paraId="1BE00140" w14:textId="77777777" w:rsidR="005666F0" w:rsidRPr="005666F0" w:rsidRDefault="005666F0" w:rsidP="005666F0">
      <w:pPr>
        <w:jc w:val="both"/>
        <w:outlineLvl w:val="0"/>
        <w:rPr>
          <w:rFonts w:ascii="Arial" w:hAnsi="Arial"/>
          <w:b/>
          <w:bCs/>
          <w:i/>
          <w:sz w:val="20"/>
          <w:u w:val="single"/>
        </w:rPr>
      </w:pPr>
      <w:r w:rsidRPr="005666F0">
        <w:rPr>
          <w:rFonts w:ascii="Arial" w:hAnsi="Arial"/>
          <w:b/>
          <w:bCs/>
          <w:i/>
          <w:sz w:val="20"/>
          <w:u w:val="single"/>
        </w:rPr>
        <w:lastRenderedPageBreak/>
        <w:t>Bienes muebles</w:t>
      </w:r>
    </w:p>
    <w:p w14:paraId="7B9CA2B4" w14:textId="77777777" w:rsidR="005666F0" w:rsidRPr="005666F0" w:rsidRDefault="005666F0" w:rsidP="005666F0">
      <w:pPr>
        <w:autoSpaceDE w:val="0"/>
        <w:autoSpaceDN w:val="0"/>
        <w:adjustRightInd w:val="0"/>
        <w:jc w:val="both"/>
        <w:rPr>
          <w:rFonts w:ascii="Arial" w:hAnsi="Arial"/>
          <w:sz w:val="20"/>
        </w:rPr>
      </w:pPr>
    </w:p>
    <w:p w14:paraId="431AC4E8" w14:textId="262E66FC" w:rsidR="005666F0" w:rsidRPr="005666F0" w:rsidRDefault="005666F0" w:rsidP="005666F0">
      <w:pPr>
        <w:jc w:val="both"/>
        <w:rPr>
          <w:rFonts w:ascii="Arial" w:hAnsi="Arial"/>
          <w:sz w:val="20"/>
        </w:rPr>
      </w:pPr>
      <w:r w:rsidRPr="005666F0">
        <w:rPr>
          <w:rFonts w:ascii="Arial" w:hAnsi="Arial"/>
          <w:sz w:val="20"/>
        </w:rPr>
        <w:t xml:space="preserve">Este renglón del activo refleja el valor de los bienes muebles que poseen las Instituciones Públicas de Seguridad Social y que al </w:t>
      </w:r>
      <w:r w:rsidR="008E371A">
        <w:rPr>
          <w:rFonts w:ascii="Arial" w:hAnsi="Arial"/>
          <w:sz w:val="20"/>
        </w:rPr>
        <w:t xml:space="preserve">30 de </w:t>
      </w:r>
      <w:r w:rsidR="00977EA3">
        <w:rPr>
          <w:rFonts w:ascii="Arial" w:hAnsi="Arial"/>
          <w:sz w:val="20"/>
        </w:rPr>
        <w:t xml:space="preserve">septiembre </w:t>
      </w:r>
      <w:r w:rsidRPr="005666F0">
        <w:rPr>
          <w:rFonts w:ascii="Arial" w:hAnsi="Arial"/>
          <w:sz w:val="20"/>
        </w:rPr>
        <w:t>de 2023, asc</w:t>
      </w:r>
      <w:r w:rsidR="00B635C5">
        <w:rPr>
          <w:rFonts w:ascii="Arial" w:hAnsi="Arial"/>
          <w:sz w:val="20"/>
        </w:rPr>
        <w:t>iende a un monto global de 1</w:t>
      </w:r>
      <w:r w:rsidR="00977EA3">
        <w:rPr>
          <w:rFonts w:ascii="Arial" w:hAnsi="Arial"/>
          <w:sz w:val="20"/>
        </w:rPr>
        <w:t>96.4</w:t>
      </w:r>
      <w:r w:rsidRPr="005666F0">
        <w:rPr>
          <w:rFonts w:ascii="Arial" w:hAnsi="Arial"/>
          <w:sz w:val="20"/>
        </w:rPr>
        <w:t xml:space="preserve"> millones de pesos y representa el </w:t>
      </w:r>
      <w:r w:rsidR="00977EA3">
        <w:rPr>
          <w:rFonts w:ascii="Arial" w:hAnsi="Arial"/>
          <w:sz w:val="20"/>
        </w:rPr>
        <w:t>9.4</w:t>
      </w:r>
      <w:r w:rsidRPr="005666F0">
        <w:rPr>
          <w:rFonts w:ascii="Arial" w:hAnsi="Arial"/>
          <w:sz w:val="20"/>
        </w:rPr>
        <w:t xml:space="preserve"> % respecto al total del activo no circulante, se integra del valor histórico  de mobiliario y equipo de administración, mobiliario y equipo educacional y recreativo, equipo e instrumental médico y de laboratorio, vehículos y equipo de transporte, maquinaria, otros equipos y herramientas, y colecciones, obras de arte y objetos valiosos, los cuales fueron adquiridos con recursos propios y se encuentran en proceso de depuración, en función de lo útil, inservible y obsoleto de los mismos, de igual manera se está en proceso de integrar la conciliación entre el área de patrimonio y contabilidad de éste Instituto, lo cual limitó a la aplicación de la depreciación de los bienes muebles. </w:t>
      </w:r>
    </w:p>
    <w:p w14:paraId="7500D94F" w14:textId="77777777" w:rsidR="005666F0" w:rsidRPr="005666F0" w:rsidRDefault="005666F0" w:rsidP="005666F0">
      <w:pPr>
        <w:jc w:val="both"/>
        <w:rPr>
          <w:rFonts w:ascii="Arial" w:hAnsi="Arial"/>
          <w:sz w:val="20"/>
        </w:rPr>
      </w:pPr>
    </w:p>
    <w:p w14:paraId="3C9DB485" w14:textId="407C0CF6" w:rsidR="005666F0" w:rsidRPr="005666F0" w:rsidRDefault="00A33F33" w:rsidP="005666F0">
      <w:pPr>
        <w:tabs>
          <w:tab w:val="left" w:pos="1418"/>
        </w:tabs>
        <w:autoSpaceDE w:val="0"/>
        <w:autoSpaceDN w:val="0"/>
        <w:adjustRightInd w:val="0"/>
        <w:jc w:val="center"/>
        <w:rPr>
          <w:rFonts w:ascii="Arial" w:hAnsi="Arial"/>
          <w:sz w:val="20"/>
        </w:rPr>
      </w:pPr>
      <w:r w:rsidRPr="00A33F33">
        <w:rPr>
          <w:noProof/>
        </w:rPr>
        <w:drawing>
          <wp:inline distT="0" distB="0" distL="0" distR="0" wp14:anchorId="34ABF2B0" wp14:editId="49BBB0D7">
            <wp:extent cx="4371975" cy="2495550"/>
            <wp:effectExtent l="0" t="0" r="9525"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71975" cy="2495550"/>
                    </a:xfrm>
                    <a:prstGeom prst="rect">
                      <a:avLst/>
                    </a:prstGeom>
                    <a:noFill/>
                    <a:ln>
                      <a:noFill/>
                    </a:ln>
                  </pic:spPr>
                </pic:pic>
              </a:graphicData>
            </a:graphic>
          </wp:inline>
        </w:drawing>
      </w:r>
    </w:p>
    <w:p w14:paraId="09231FDF" w14:textId="77777777" w:rsidR="005666F0" w:rsidRPr="005666F0" w:rsidRDefault="005666F0" w:rsidP="005666F0">
      <w:pPr>
        <w:tabs>
          <w:tab w:val="left" w:pos="1418"/>
        </w:tabs>
        <w:autoSpaceDE w:val="0"/>
        <w:autoSpaceDN w:val="0"/>
        <w:adjustRightInd w:val="0"/>
        <w:jc w:val="both"/>
        <w:rPr>
          <w:rFonts w:ascii="Arial" w:hAnsi="Arial"/>
          <w:b/>
          <w:i/>
          <w:sz w:val="20"/>
        </w:rPr>
      </w:pPr>
    </w:p>
    <w:p w14:paraId="238A616A" w14:textId="77777777" w:rsidR="005666F0" w:rsidRPr="005666F0" w:rsidRDefault="005666F0" w:rsidP="005666F0">
      <w:pPr>
        <w:tabs>
          <w:tab w:val="left" w:pos="1418"/>
        </w:tabs>
        <w:autoSpaceDE w:val="0"/>
        <w:autoSpaceDN w:val="0"/>
        <w:adjustRightInd w:val="0"/>
        <w:jc w:val="both"/>
        <w:rPr>
          <w:rFonts w:ascii="Arial" w:hAnsi="Arial"/>
          <w:b/>
          <w:i/>
          <w:sz w:val="20"/>
        </w:rPr>
      </w:pPr>
    </w:p>
    <w:p w14:paraId="0EC7EA37" w14:textId="77777777" w:rsidR="005666F0" w:rsidRPr="005666F0" w:rsidRDefault="005666F0" w:rsidP="005666F0">
      <w:pPr>
        <w:jc w:val="both"/>
        <w:outlineLvl w:val="0"/>
        <w:rPr>
          <w:rFonts w:ascii="Arial" w:hAnsi="Arial"/>
          <w:b/>
          <w:bCs/>
          <w:i/>
          <w:sz w:val="20"/>
          <w:u w:val="single"/>
        </w:rPr>
      </w:pPr>
      <w:r w:rsidRPr="005666F0">
        <w:rPr>
          <w:rFonts w:ascii="Arial" w:hAnsi="Arial"/>
          <w:b/>
          <w:bCs/>
          <w:i/>
          <w:sz w:val="20"/>
          <w:u w:val="single"/>
        </w:rPr>
        <w:t>Activos intangibles</w:t>
      </w:r>
    </w:p>
    <w:p w14:paraId="2670F721" w14:textId="77777777" w:rsidR="005666F0" w:rsidRPr="005666F0" w:rsidRDefault="005666F0" w:rsidP="005666F0">
      <w:pPr>
        <w:tabs>
          <w:tab w:val="left" w:pos="1418"/>
        </w:tabs>
        <w:autoSpaceDE w:val="0"/>
        <w:autoSpaceDN w:val="0"/>
        <w:adjustRightInd w:val="0"/>
        <w:jc w:val="both"/>
        <w:rPr>
          <w:rFonts w:ascii="Arial" w:hAnsi="Arial"/>
          <w:b/>
          <w:i/>
          <w:sz w:val="20"/>
        </w:rPr>
      </w:pPr>
    </w:p>
    <w:p w14:paraId="56C57AD6" w14:textId="56135A42" w:rsidR="005666F0" w:rsidRPr="005666F0" w:rsidRDefault="005666F0" w:rsidP="005666F0">
      <w:pPr>
        <w:autoSpaceDE w:val="0"/>
        <w:autoSpaceDN w:val="0"/>
        <w:adjustRightInd w:val="0"/>
        <w:jc w:val="both"/>
        <w:rPr>
          <w:rFonts w:ascii="Arial" w:hAnsi="Arial"/>
          <w:sz w:val="20"/>
        </w:rPr>
      </w:pPr>
      <w:r w:rsidRPr="005666F0">
        <w:rPr>
          <w:rFonts w:ascii="Arial" w:hAnsi="Arial"/>
          <w:sz w:val="20"/>
        </w:rPr>
        <w:t xml:space="preserve">Al </w:t>
      </w:r>
      <w:r w:rsidR="008E371A">
        <w:rPr>
          <w:rFonts w:ascii="Arial" w:hAnsi="Arial"/>
          <w:sz w:val="20"/>
        </w:rPr>
        <w:t xml:space="preserve">30 de </w:t>
      </w:r>
      <w:r w:rsidR="001A56A2">
        <w:rPr>
          <w:rFonts w:ascii="Arial" w:hAnsi="Arial"/>
          <w:sz w:val="20"/>
        </w:rPr>
        <w:t xml:space="preserve">septiembre </w:t>
      </w:r>
      <w:r w:rsidRPr="005666F0">
        <w:rPr>
          <w:rFonts w:ascii="Arial" w:hAnsi="Arial"/>
          <w:sz w:val="20"/>
        </w:rPr>
        <w:t>de 2023, este rubro asciende a 0.6 millone</w:t>
      </w:r>
      <w:r w:rsidR="006353D1">
        <w:rPr>
          <w:rFonts w:ascii="Arial" w:hAnsi="Arial"/>
          <w:sz w:val="20"/>
        </w:rPr>
        <w:t xml:space="preserve">s de pesos, </w:t>
      </w:r>
      <w:r w:rsidRPr="005666F0">
        <w:rPr>
          <w:rFonts w:ascii="Arial" w:hAnsi="Arial"/>
          <w:sz w:val="20"/>
        </w:rPr>
        <w:t>se integra por la adquisición de licencias de antivirus, así como de paquetes informáticos para el desarrollo de las actividades de la unidad de tecnologías de la información, adquiridos con recursos propios.</w:t>
      </w:r>
    </w:p>
    <w:p w14:paraId="71065960" w14:textId="77777777" w:rsidR="005666F0" w:rsidRPr="005666F0" w:rsidRDefault="005666F0" w:rsidP="005666F0">
      <w:pPr>
        <w:autoSpaceDE w:val="0"/>
        <w:autoSpaceDN w:val="0"/>
        <w:adjustRightInd w:val="0"/>
        <w:jc w:val="both"/>
        <w:rPr>
          <w:rFonts w:ascii="Arial" w:hAnsi="Arial"/>
          <w:sz w:val="20"/>
        </w:rPr>
      </w:pPr>
    </w:p>
    <w:p w14:paraId="1B9FBED3" w14:textId="470F0CDA" w:rsidR="005666F0" w:rsidRPr="005666F0" w:rsidRDefault="00A33F33" w:rsidP="005666F0">
      <w:pPr>
        <w:autoSpaceDE w:val="0"/>
        <w:autoSpaceDN w:val="0"/>
        <w:adjustRightInd w:val="0"/>
        <w:jc w:val="center"/>
        <w:outlineLvl w:val="0"/>
        <w:rPr>
          <w:rFonts w:ascii="Arial" w:hAnsi="Arial"/>
          <w:b/>
          <w:bCs/>
          <w:i/>
          <w:iCs/>
          <w:sz w:val="20"/>
        </w:rPr>
      </w:pPr>
      <w:r w:rsidRPr="00A33F33">
        <w:rPr>
          <w:noProof/>
        </w:rPr>
        <w:drawing>
          <wp:inline distT="0" distB="0" distL="0" distR="0" wp14:anchorId="2D84E900" wp14:editId="2B4667F6">
            <wp:extent cx="4371975" cy="1009650"/>
            <wp:effectExtent l="0" t="0" r="9525"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71975" cy="1009650"/>
                    </a:xfrm>
                    <a:prstGeom prst="rect">
                      <a:avLst/>
                    </a:prstGeom>
                    <a:noFill/>
                    <a:ln>
                      <a:noFill/>
                    </a:ln>
                  </pic:spPr>
                </pic:pic>
              </a:graphicData>
            </a:graphic>
          </wp:inline>
        </w:drawing>
      </w:r>
    </w:p>
    <w:p w14:paraId="5A685D5F" w14:textId="276CF02C" w:rsidR="005666F0" w:rsidRDefault="005666F0" w:rsidP="005666F0">
      <w:pPr>
        <w:autoSpaceDE w:val="0"/>
        <w:autoSpaceDN w:val="0"/>
        <w:adjustRightInd w:val="0"/>
        <w:jc w:val="both"/>
        <w:outlineLvl w:val="0"/>
        <w:rPr>
          <w:rFonts w:ascii="Arial" w:hAnsi="Arial"/>
          <w:b/>
          <w:bCs/>
          <w:i/>
          <w:iCs/>
          <w:sz w:val="20"/>
        </w:rPr>
      </w:pPr>
    </w:p>
    <w:p w14:paraId="19468DD2" w14:textId="77777777" w:rsidR="00A33F33" w:rsidRPr="005666F0" w:rsidRDefault="00A33F33" w:rsidP="005666F0">
      <w:pPr>
        <w:autoSpaceDE w:val="0"/>
        <w:autoSpaceDN w:val="0"/>
        <w:adjustRightInd w:val="0"/>
        <w:jc w:val="both"/>
        <w:outlineLvl w:val="0"/>
        <w:rPr>
          <w:rFonts w:ascii="Arial" w:hAnsi="Arial"/>
          <w:b/>
          <w:bCs/>
          <w:i/>
          <w:iCs/>
          <w:sz w:val="20"/>
        </w:rPr>
      </w:pPr>
    </w:p>
    <w:p w14:paraId="35664770" w14:textId="77777777" w:rsidR="00364F67" w:rsidRPr="00AA77B2" w:rsidRDefault="00364F67" w:rsidP="00364F67">
      <w:pPr>
        <w:numPr>
          <w:ilvl w:val="1"/>
          <w:numId w:val="0"/>
        </w:numPr>
        <w:jc w:val="both"/>
        <w:rPr>
          <w:rFonts w:ascii="Arial" w:eastAsia="Times New Roman" w:hAnsi="Arial" w:cs="Times New Roman"/>
          <w:b/>
          <w:i/>
          <w:iCs/>
          <w:sz w:val="20"/>
          <w:szCs w:val="20"/>
          <w:u w:val="single"/>
          <w:lang w:val="es-ES" w:eastAsia="es-ES"/>
        </w:rPr>
      </w:pPr>
      <w:bookmarkStart w:id="3" w:name="_Hlk125467269"/>
      <w:r w:rsidRPr="00AA77B2">
        <w:rPr>
          <w:rFonts w:ascii="Arial" w:eastAsia="Times New Roman" w:hAnsi="Arial" w:cs="Times New Roman"/>
          <w:b/>
          <w:i/>
          <w:iCs/>
          <w:sz w:val="20"/>
          <w:szCs w:val="20"/>
          <w:u w:val="single"/>
          <w:lang w:val="es-ES" w:eastAsia="es-ES"/>
        </w:rPr>
        <w:t>Activos diferidos</w:t>
      </w:r>
    </w:p>
    <w:p w14:paraId="1E8D7FA3" w14:textId="77777777" w:rsidR="00364F67" w:rsidRDefault="00364F67" w:rsidP="00364F67">
      <w:pPr>
        <w:jc w:val="both"/>
        <w:rPr>
          <w:rFonts w:ascii="Arial" w:eastAsia="Calibri" w:hAnsi="Arial" w:cs="Times New Roman"/>
          <w:iCs/>
          <w:sz w:val="20"/>
          <w:szCs w:val="20"/>
          <w:lang w:val="es-ES" w:eastAsia="es-ES"/>
        </w:rPr>
      </w:pPr>
    </w:p>
    <w:p w14:paraId="3506B3F1" w14:textId="0FAFEFF6" w:rsidR="00364F67" w:rsidRPr="00AA77B2" w:rsidRDefault="00364F67" w:rsidP="00364F67">
      <w:pPr>
        <w:jc w:val="both"/>
        <w:rPr>
          <w:rFonts w:ascii="Arial" w:eastAsia="Calibri" w:hAnsi="Arial" w:cs="Times New Roman"/>
          <w:iCs/>
          <w:sz w:val="20"/>
          <w:szCs w:val="20"/>
          <w:lang w:val="es-ES" w:eastAsia="es-ES"/>
        </w:rPr>
      </w:pPr>
      <w:r w:rsidRPr="00AA77B2">
        <w:rPr>
          <w:rFonts w:ascii="Arial" w:eastAsia="Calibri" w:hAnsi="Arial" w:cs="Times New Roman"/>
          <w:iCs/>
          <w:sz w:val="20"/>
          <w:szCs w:val="20"/>
          <w:lang w:val="es-ES" w:eastAsia="es-ES"/>
        </w:rPr>
        <w:t xml:space="preserve">El saldo de este rubro asciende a </w:t>
      </w:r>
      <w:r>
        <w:rPr>
          <w:rFonts w:ascii="Arial" w:eastAsia="Calibri" w:hAnsi="Arial" w:cs="Times New Roman"/>
          <w:iCs/>
          <w:sz w:val="20"/>
          <w:szCs w:val="20"/>
          <w:lang w:val="es-ES" w:eastAsia="es-ES"/>
        </w:rPr>
        <w:t>1.3</w:t>
      </w:r>
      <w:r w:rsidRPr="00AA77B2">
        <w:rPr>
          <w:rFonts w:ascii="Arial" w:eastAsia="Calibri" w:hAnsi="Arial" w:cs="Times New Roman"/>
          <w:iCs/>
          <w:sz w:val="20"/>
          <w:szCs w:val="20"/>
          <w:lang w:val="es-ES" w:eastAsia="es-ES"/>
        </w:rPr>
        <w:t xml:space="preserve"> mill</w:t>
      </w:r>
      <w:r>
        <w:rPr>
          <w:rFonts w:ascii="Arial" w:eastAsia="Calibri" w:hAnsi="Arial" w:cs="Times New Roman"/>
          <w:iCs/>
          <w:sz w:val="20"/>
          <w:szCs w:val="20"/>
          <w:lang w:val="es-ES" w:eastAsia="es-ES"/>
        </w:rPr>
        <w:t>ones de pesos y se integra por: las operaciones transitorias pendientes de regularizar, correspondiente al periodo que se informa</w:t>
      </w:r>
      <w:r w:rsidRPr="00AA77B2">
        <w:rPr>
          <w:rFonts w:ascii="Arial" w:eastAsia="Calibri" w:hAnsi="Arial" w:cs="Times New Roman"/>
          <w:iCs/>
          <w:sz w:val="20"/>
          <w:szCs w:val="20"/>
          <w:lang w:val="es-ES" w:eastAsia="es-ES"/>
        </w:rPr>
        <w:t>.</w:t>
      </w:r>
    </w:p>
    <w:p w14:paraId="5D320282" w14:textId="77777777" w:rsidR="00364F67" w:rsidRPr="00AA77B2" w:rsidRDefault="00364F67" w:rsidP="00364F67">
      <w:pPr>
        <w:jc w:val="both"/>
        <w:rPr>
          <w:rFonts w:ascii="Arial" w:eastAsia="Calibri" w:hAnsi="Arial" w:cs="Times New Roman"/>
          <w:iCs/>
          <w:sz w:val="20"/>
          <w:szCs w:val="20"/>
          <w:lang w:val="es-ES" w:eastAsia="es-ES"/>
        </w:rPr>
      </w:pPr>
    </w:p>
    <w:p w14:paraId="62972CE3" w14:textId="172B0FC2" w:rsidR="00364F67" w:rsidRDefault="00364F67" w:rsidP="00364F67">
      <w:pPr>
        <w:autoSpaceDE w:val="0"/>
        <w:autoSpaceDN w:val="0"/>
        <w:adjustRightInd w:val="0"/>
        <w:jc w:val="both"/>
        <w:rPr>
          <w:rFonts w:ascii="Arial" w:eastAsia="Calibri" w:hAnsi="Arial" w:cs="Times New Roman"/>
          <w:iCs/>
          <w:sz w:val="20"/>
          <w:szCs w:val="20"/>
          <w:lang w:val="es-ES" w:eastAsia="es-ES"/>
        </w:rPr>
      </w:pPr>
      <w:r w:rsidRPr="00AA77B2">
        <w:rPr>
          <w:rFonts w:ascii="Arial" w:eastAsia="Calibri" w:hAnsi="Arial" w:cs="Times New Roman"/>
          <w:iCs/>
          <w:sz w:val="20"/>
          <w:szCs w:val="20"/>
          <w:lang w:val="es-ES" w:eastAsia="es-ES"/>
        </w:rPr>
        <w:t xml:space="preserve">Al </w:t>
      </w:r>
      <w:r>
        <w:rPr>
          <w:rFonts w:ascii="Arial" w:eastAsia="Calibri" w:hAnsi="Arial" w:cs="Times New Roman"/>
          <w:iCs/>
          <w:sz w:val="20"/>
          <w:szCs w:val="20"/>
          <w:lang w:val="es-ES" w:eastAsia="es-ES"/>
        </w:rPr>
        <w:t xml:space="preserve">30 de </w:t>
      </w:r>
      <w:r w:rsidR="00B73B95">
        <w:rPr>
          <w:rFonts w:ascii="Arial" w:eastAsia="Calibri" w:hAnsi="Arial" w:cs="Times New Roman"/>
          <w:iCs/>
          <w:sz w:val="20"/>
          <w:szCs w:val="20"/>
          <w:lang w:val="es-ES" w:eastAsia="es-ES"/>
        </w:rPr>
        <w:t xml:space="preserve">septiembre </w:t>
      </w:r>
      <w:r w:rsidRPr="00AA77B2">
        <w:rPr>
          <w:rFonts w:ascii="Arial" w:eastAsia="Calibri" w:hAnsi="Arial" w:cs="Times New Roman"/>
          <w:iCs/>
          <w:sz w:val="20"/>
          <w:szCs w:val="20"/>
          <w:lang w:val="es-ES" w:eastAsia="es-ES"/>
        </w:rPr>
        <w:t>de 2</w:t>
      </w:r>
      <w:r>
        <w:rPr>
          <w:rFonts w:ascii="Arial" w:eastAsia="Calibri" w:hAnsi="Arial" w:cs="Times New Roman"/>
          <w:iCs/>
          <w:sz w:val="20"/>
          <w:szCs w:val="20"/>
          <w:lang w:val="es-ES" w:eastAsia="es-ES"/>
        </w:rPr>
        <w:t xml:space="preserve">023, este rubro representa el </w:t>
      </w:r>
      <w:r w:rsidR="00B73B95">
        <w:rPr>
          <w:rFonts w:ascii="Arial" w:eastAsia="Calibri" w:hAnsi="Arial" w:cs="Times New Roman"/>
          <w:iCs/>
          <w:sz w:val="20"/>
          <w:szCs w:val="20"/>
          <w:lang w:val="es-ES" w:eastAsia="es-ES"/>
        </w:rPr>
        <w:t>0.1</w:t>
      </w:r>
      <w:r w:rsidRPr="00AA77B2">
        <w:rPr>
          <w:rFonts w:ascii="Arial" w:eastAsia="Calibri" w:hAnsi="Arial" w:cs="Times New Roman"/>
          <w:iCs/>
          <w:sz w:val="20"/>
          <w:szCs w:val="20"/>
          <w:lang w:val="es-ES" w:eastAsia="es-ES"/>
        </w:rPr>
        <w:t xml:space="preserve"> % respecto al total del activo no circulante.</w:t>
      </w:r>
    </w:p>
    <w:p w14:paraId="2FCF6882" w14:textId="77777777" w:rsidR="00364F67" w:rsidRDefault="00364F67" w:rsidP="00364F67">
      <w:pPr>
        <w:autoSpaceDE w:val="0"/>
        <w:autoSpaceDN w:val="0"/>
        <w:adjustRightInd w:val="0"/>
        <w:jc w:val="both"/>
        <w:rPr>
          <w:rFonts w:ascii="Arial" w:eastAsia="Calibri" w:hAnsi="Arial" w:cs="Times New Roman"/>
          <w:iCs/>
          <w:sz w:val="20"/>
          <w:szCs w:val="20"/>
          <w:lang w:val="es-ES" w:eastAsia="es-ES"/>
        </w:rPr>
      </w:pPr>
    </w:p>
    <w:p w14:paraId="42E90E61" w14:textId="386BA2CE" w:rsidR="00364F67" w:rsidRPr="00AA77B2" w:rsidRDefault="00A33F33" w:rsidP="00A33F33">
      <w:pPr>
        <w:autoSpaceDE w:val="0"/>
        <w:autoSpaceDN w:val="0"/>
        <w:adjustRightInd w:val="0"/>
        <w:jc w:val="center"/>
        <w:rPr>
          <w:rFonts w:ascii="Arial" w:eastAsia="Calibri" w:hAnsi="Arial" w:cs="Times New Roman"/>
          <w:iCs/>
          <w:sz w:val="20"/>
          <w:szCs w:val="20"/>
          <w:lang w:val="es-ES" w:eastAsia="es-ES"/>
        </w:rPr>
      </w:pPr>
      <w:r w:rsidRPr="00A33F33">
        <w:rPr>
          <w:noProof/>
        </w:rPr>
        <w:drawing>
          <wp:inline distT="0" distB="0" distL="0" distR="0" wp14:anchorId="2F1EB2A3" wp14:editId="334D52BB">
            <wp:extent cx="4371975" cy="1009650"/>
            <wp:effectExtent l="0" t="0" r="9525"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71975" cy="1009650"/>
                    </a:xfrm>
                    <a:prstGeom prst="rect">
                      <a:avLst/>
                    </a:prstGeom>
                    <a:noFill/>
                    <a:ln>
                      <a:noFill/>
                    </a:ln>
                  </pic:spPr>
                </pic:pic>
              </a:graphicData>
            </a:graphic>
          </wp:inline>
        </w:drawing>
      </w:r>
    </w:p>
    <w:p w14:paraId="67B21021" w14:textId="77777777" w:rsidR="005666F0" w:rsidRPr="005666F0" w:rsidRDefault="005666F0" w:rsidP="005666F0">
      <w:pPr>
        <w:pStyle w:val="Subttulo"/>
      </w:pPr>
      <w:r w:rsidRPr="005666F0">
        <w:lastRenderedPageBreak/>
        <w:t>Pasivo</w:t>
      </w:r>
    </w:p>
    <w:p w14:paraId="3521AA84" w14:textId="77777777" w:rsidR="005666F0" w:rsidRPr="005666F0" w:rsidRDefault="005666F0" w:rsidP="005666F0">
      <w:pPr>
        <w:autoSpaceDE w:val="0"/>
        <w:autoSpaceDN w:val="0"/>
        <w:adjustRightInd w:val="0"/>
        <w:jc w:val="both"/>
        <w:rPr>
          <w:rFonts w:ascii="Arial" w:hAnsi="Arial" w:cs="Arial"/>
          <w:b/>
          <w:bCs/>
          <w:sz w:val="20"/>
          <w:szCs w:val="20"/>
        </w:rPr>
      </w:pPr>
    </w:p>
    <w:bookmarkEnd w:id="3"/>
    <w:p w14:paraId="67974C56" w14:textId="1CB19E4D" w:rsidR="005666F0" w:rsidRPr="005666F0" w:rsidRDefault="005666F0" w:rsidP="005666F0">
      <w:pPr>
        <w:autoSpaceDE w:val="0"/>
        <w:autoSpaceDN w:val="0"/>
        <w:adjustRightInd w:val="0"/>
        <w:jc w:val="both"/>
        <w:rPr>
          <w:rFonts w:ascii="Arial" w:hAnsi="Arial"/>
          <w:sz w:val="20"/>
        </w:rPr>
      </w:pPr>
      <w:r w:rsidRPr="005666F0">
        <w:rPr>
          <w:rFonts w:ascii="Arial" w:hAnsi="Arial"/>
          <w:sz w:val="20"/>
        </w:rPr>
        <w:t xml:space="preserve">Es el conjunto de cuentas que permite el registro de las obligaciones contraídas por los entes públicos, para el desarrollo de sus funciones y la prestación de los servicios públicos. Al </w:t>
      </w:r>
      <w:r w:rsidR="008E371A">
        <w:rPr>
          <w:rFonts w:ascii="Arial" w:hAnsi="Arial"/>
          <w:sz w:val="20"/>
        </w:rPr>
        <w:t xml:space="preserve">30 de </w:t>
      </w:r>
      <w:r w:rsidR="00985197">
        <w:rPr>
          <w:rFonts w:ascii="Arial" w:hAnsi="Arial"/>
          <w:sz w:val="20"/>
        </w:rPr>
        <w:t xml:space="preserve">septiembre </w:t>
      </w:r>
      <w:r w:rsidRPr="005666F0">
        <w:rPr>
          <w:rFonts w:ascii="Arial" w:hAnsi="Arial"/>
          <w:sz w:val="20"/>
        </w:rPr>
        <w:t>de 2023, los estados financieros reflejan principalmente pasivo circulante o corto plazo, es decir, aquellas obligaciones en que la exigibilidad de pago es menor a un año, así también, pasivo no circulante o largo plazo que representa las obligaciones con vencimiento posterior a un año.</w:t>
      </w:r>
    </w:p>
    <w:p w14:paraId="32587CE6" w14:textId="77777777" w:rsidR="005666F0" w:rsidRPr="005666F0" w:rsidRDefault="005666F0" w:rsidP="005666F0">
      <w:pPr>
        <w:autoSpaceDE w:val="0"/>
        <w:autoSpaceDN w:val="0"/>
        <w:adjustRightInd w:val="0"/>
        <w:jc w:val="both"/>
        <w:rPr>
          <w:rFonts w:ascii="Arial" w:hAnsi="Arial"/>
          <w:sz w:val="20"/>
        </w:rPr>
      </w:pPr>
    </w:p>
    <w:p w14:paraId="5E1BB719" w14:textId="77777777" w:rsidR="005666F0" w:rsidRPr="005666F0" w:rsidRDefault="005666F0" w:rsidP="005666F0">
      <w:pPr>
        <w:pStyle w:val="Subttulo"/>
      </w:pPr>
      <w:r w:rsidRPr="005666F0">
        <w:t>Circulante</w:t>
      </w:r>
    </w:p>
    <w:p w14:paraId="684C21EE" w14:textId="77777777" w:rsidR="005666F0" w:rsidRPr="005666F0" w:rsidRDefault="005666F0" w:rsidP="005666F0">
      <w:pPr>
        <w:autoSpaceDE w:val="0"/>
        <w:autoSpaceDN w:val="0"/>
        <w:adjustRightInd w:val="0"/>
        <w:jc w:val="both"/>
        <w:rPr>
          <w:rFonts w:ascii="Arial" w:hAnsi="Arial"/>
          <w:b/>
          <w:bCs/>
          <w:sz w:val="20"/>
        </w:rPr>
      </w:pPr>
    </w:p>
    <w:p w14:paraId="4BBE9E39" w14:textId="75B591AB" w:rsidR="005666F0" w:rsidRPr="005666F0" w:rsidRDefault="002A3120" w:rsidP="005666F0">
      <w:pPr>
        <w:autoSpaceDE w:val="0"/>
        <w:autoSpaceDN w:val="0"/>
        <w:adjustRightInd w:val="0"/>
        <w:jc w:val="center"/>
        <w:rPr>
          <w:rFonts w:ascii="Arial" w:hAnsi="Arial"/>
          <w:b/>
          <w:bCs/>
          <w:sz w:val="20"/>
        </w:rPr>
      </w:pPr>
      <w:r>
        <w:rPr>
          <w:rFonts w:ascii="Arial" w:hAnsi="Arial"/>
          <w:b/>
          <w:bCs/>
          <w:noProof/>
          <w:sz w:val="20"/>
        </w:rPr>
        <w:drawing>
          <wp:inline distT="0" distB="0" distL="0" distR="0" wp14:anchorId="0C54F4CB" wp14:editId="12843A19">
            <wp:extent cx="3621405" cy="3602990"/>
            <wp:effectExtent l="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21405" cy="3602990"/>
                    </a:xfrm>
                    <a:prstGeom prst="rect">
                      <a:avLst/>
                    </a:prstGeom>
                    <a:noFill/>
                  </pic:spPr>
                </pic:pic>
              </a:graphicData>
            </a:graphic>
          </wp:inline>
        </w:drawing>
      </w:r>
    </w:p>
    <w:p w14:paraId="6AC8C6B9" w14:textId="77777777" w:rsidR="005666F0" w:rsidRPr="005666F0" w:rsidRDefault="005666F0" w:rsidP="005666F0">
      <w:pPr>
        <w:autoSpaceDE w:val="0"/>
        <w:autoSpaceDN w:val="0"/>
        <w:adjustRightInd w:val="0"/>
        <w:jc w:val="both"/>
        <w:rPr>
          <w:rFonts w:ascii="Arial" w:hAnsi="Arial"/>
          <w:b/>
          <w:bCs/>
          <w:sz w:val="20"/>
        </w:rPr>
      </w:pPr>
    </w:p>
    <w:p w14:paraId="337C9521" w14:textId="77777777" w:rsidR="005666F0" w:rsidRPr="005666F0" w:rsidRDefault="005666F0" w:rsidP="005666F0">
      <w:pPr>
        <w:autoSpaceDE w:val="0"/>
        <w:autoSpaceDN w:val="0"/>
        <w:adjustRightInd w:val="0"/>
        <w:jc w:val="both"/>
        <w:rPr>
          <w:rFonts w:ascii="Arial" w:hAnsi="Arial"/>
          <w:b/>
          <w:bCs/>
          <w:sz w:val="20"/>
        </w:rPr>
      </w:pPr>
    </w:p>
    <w:p w14:paraId="4D71D872" w14:textId="77777777" w:rsidR="005666F0" w:rsidRPr="005666F0" w:rsidRDefault="005666F0" w:rsidP="005666F0">
      <w:pPr>
        <w:jc w:val="both"/>
        <w:outlineLvl w:val="0"/>
        <w:rPr>
          <w:rFonts w:ascii="Arial" w:hAnsi="Arial"/>
          <w:b/>
          <w:bCs/>
          <w:i/>
          <w:sz w:val="20"/>
          <w:u w:val="single"/>
        </w:rPr>
      </w:pPr>
      <w:r w:rsidRPr="005666F0">
        <w:rPr>
          <w:rFonts w:ascii="Arial" w:hAnsi="Arial"/>
          <w:b/>
          <w:bCs/>
          <w:i/>
          <w:sz w:val="20"/>
          <w:u w:val="single"/>
        </w:rPr>
        <w:t>Cuentas por pagar a corto plazo</w:t>
      </w:r>
    </w:p>
    <w:p w14:paraId="238975DE" w14:textId="77777777" w:rsidR="005666F0" w:rsidRPr="005666F0" w:rsidRDefault="005666F0" w:rsidP="005666F0">
      <w:pPr>
        <w:tabs>
          <w:tab w:val="left" w:pos="1418"/>
        </w:tabs>
        <w:autoSpaceDE w:val="0"/>
        <w:autoSpaceDN w:val="0"/>
        <w:adjustRightInd w:val="0"/>
        <w:jc w:val="both"/>
        <w:rPr>
          <w:rFonts w:ascii="Arial" w:hAnsi="Arial"/>
          <w:b/>
          <w:i/>
          <w:sz w:val="20"/>
        </w:rPr>
      </w:pPr>
    </w:p>
    <w:p w14:paraId="7C134496" w14:textId="3F7A755C" w:rsidR="005666F0" w:rsidRDefault="005666F0" w:rsidP="005666F0">
      <w:pPr>
        <w:jc w:val="both"/>
        <w:rPr>
          <w:rFonts w:ascii="Arial" w:hAnsi="Arial"/>
          <w:sz w:val="20"/>
        </w:rPr>
      </w:pPr>
      <w:r w:rsidRPr="005666F0">
        <w:rPr>
          <w:rFonts w:ascii="Arial" w:hAnsi="Arial"/>
          <w:bCs/>
          <w:sz w:val="20"/>
        </w:rPr>
        <w:t xml:space="preserve">Las cuentas por pagar a corto plazo del periodo 1 de enero al </w:t>
      </w:r>
      <w:r w:rsidR="008E371A">
        <w:rPr>
          <w:rFonts w:ascii="Arial" w:hAnsi="Arial"/>
          <w:bCs/>
          <w:sz w:val="20"/>
        </w:rPr>
        <w:t xml:space="preserve">30 de </w:t>
      </w:r>
      <w:r w:rsidR="00CB0BB7">
        <w:rPr>
          <w:rFonts w:ascii="Arial" w:hAnsi="Arial"/>
          <w:bCs/>
          <w:sz w:val="20"/>
        </w:rPr>
        <w:t xml:space="preserve">septiembre </w:t>
      </w:r>
      <w:r w:rsidRPr="005666F0">
        <w:rPr>
          <w:rFonts w:ascii="Arial" w:hAnsi="Arial"/>
          <w:bCs/>
          <w:sz w:val="20"/>
        </w:rPr>
        <w:t>de 2023 asc</w:t>
      </w:r>
      <w:r w:rsidR="006353D1">
        <w:rPr>
          <w:rFonts w:ascii="Arial" w:hAnsi="Arial"/>
          <w:bCs/>
          <w:sz w:val="20"/>
        </w:rPr>
        <w:t xml:space="preserve">ienden a </w:t>
      </w:r>
      <w:r w:rsidR="00CB0BB7">
        <w:rPr>
          <w:rFonts w:ascii="Arial" w:hAnsi="Arial"/>
          <w:bCs/>
          <w:sz w:val="20"/>
        </w:rPr>
        <w:t>145.3</w:t>
      </w:r>
      <w:r w:rsidRPr="005666F0">
        <w:rPr>
          <w:rFonts w:ascii="Arial" w:hAnsi="Arial"/>
          <w:bCs/>
          <w:sz w:val="20"/>
        </w:rPr>
        <w:t xml:space="preserve"> millones de pesos, </w:t>
      </w:r>
      <w:r w:rsidRPr="005666F0">
        <w:rPr>
          <w:rFonts w:ascii="Arial" w:hAnsi="Arial"/>
          <w:sz w:val="20"/>
        </w:rPr>
        <w:t xml:space="preserve">y representa el </w:t>
      </w:r>
      <w:r w:rsidR="00CB0BB7">
        <w:rPr>
          <w:rFonts w:ascii="Arial" w:hAnsi="Arial"/>
          <w:sz w:val="20"/>
        </w:rPr>
        <w:t>28.6</w:t>
      </w:r>
      <w:r w:rsidR="001A56A2">
        <w:rPr>
          <w:rFonts w:ascii="Arial" w:hAnsi="Arial"/>
          <w:sz w:val="20"/>
        </w:rPr>
        <w:t xml:space="preserve"> </w:t>
      </w:r>
      <w:r w:rsidRPr="005666F0">
        <w:rPr>
          <w:rFonts w:ascii="Arial" w:hAnsi="Arial"/>
          <w:sz w:val="20"/>
        </w:rPr>
        <w:t>% del pasivo circulante, integrándose por los compromisos pendientes de pago de prestaciones salariales devengadas, del periodo que se informa y de años anteriores, así como a proveedores y prestadores de servicios; por la adquisición de productos farmacéuticos e insumos médicos, importe que está en proceso de depuración para su pago.</w:t>
      </w:r>
    </w:p>
    <w:p w14:paraId="3202AF19" w14:textId="77777777" w:rsidR="00CB0BB7" w:rsidRPr="005666F0" w:rsidRDefault="00CB0BB7" w:rsidP="005666F0">
      <w:pPr>
        <w:jc w:val="both"/>
        <w:rPr>
          <w:rFonts w:ascii="Arial" w:hAnsi="Arial"/>
          <w:sz w:val="20"/>
        </w:rPr>
      </w:pPr>
    </w:p>
    <w:p w14:paraId="0A3B1F6A" w14:textId="6F288AA4" w:rsidR="005666F0" w:rsidRPr="005666F0" w:rsidRDefault="005666F0" w:rsidP="005666F0">
      <w:pPr>
        <w:jc w:val="both"/>
        <w:rPr>
          <w:rFonts w:ascii="Arial" w:hAnsi="Arial"/>
          <w:sz w:val="20"/>
        </w:rPr>
      </w:pPr>
      <w:r w:rsidRPr="005666F0">
        <w:rPr>
          <w:rFonts w:ascii="Arial" w:hAnsi="Arial"/>
          <w:sz w:val="20"/>
        </w:rPr>
        <w:t>Así como, por contribuciones federales de retenciones sobre honorarios, arrendamiento, impuesto sobre sueldos y salarios e indemnización, y retenciones del 1.25</w:t>
      </w:r>
      <w:r w:rsidR="001A56A2">
        <w:rPr>
          <w:rFonts w:ascii="Arial" w:hAnsi="Arial"/>
          <w:sz w:val="20"/>
        </w:rPr>
        <w:t xml:space="preserve"> </w:t>
      </w:r>
      <w:r w:rsidRPr="005666F0">
        <w:rPr>
          <w:rFonts w:ascii="Arial" w:hAnsi="Arial"/>
          <w:sz w:val="20"/>
        </w:rPr>
        <w:t>%</w:t>
      </w:r>
      <w:r w:rsidR="001A56A2">
        <w:rPr>
          <w:rFonts w:ascii="Arial" w:hAnsi="Arial"/>
          <w:sz w:val="20"/>
        </w:rPr>
        <w:t xml:space="preserve"> </w:t>
      </w:r>
      <w:r w:rsidRPr="005666F0">
        <w:rPr>
          <w:rFonts w:ascii="Arial" w:hAnsi="Arial"/>
          <w:sz w:val="20"/>
        </w:rPr>
        <w:t>del Régimen Simplificado de Confianza (RESICO) y contribuciones estatales del 2</w:t>
      </w:r>
      <w:r w:rsidR="001A56A2">
        <w:rPr>
          <w:rFonts w:ascii="Arial" w:hAnsi="Arial"/>
          <w:sz w:val="20"/>
        </w:rPr>
        <w:t xml:space="preserve"> </w:t>
      </w:r>
      <w:r w:rsidRPr="005666F0">
        <w:rPr>
          <w:rFonts w:ascii="Arial" w:hAnsi="Arial"/>
          <w:sz w:val="20"/>
        </w:rPr>
        <w:t>% sobre nóminas, 6</w:t>
      </w:r>
      <w:r w:rsidR="001A56A2">
        <w:rPr>
          <w:rFonts w:ascii="Arial" w:hAnsi="Arial"/>
          <w:sz w:val="20"/>
        </w:rPr>
        <w:t xml:space="preserve"> </w:t>
      </w:r>
      <w:r w:rsidRPr="005666F0">
        <w:rPr>
          <w:rFonts w:ascii="Arial" w:hAnsi="Arial"/>
          <w:sz w:val="20"/>
        </w:rPr>
        <w:t>% adicional para el desarrollo económico y social de la entidad y 2</w:t>
      </w:r>
      <w:r w:rsidR="001A56A2">
        <w:rPr>
          <w:rFonts w:ascii="Arial" w:hAnsi="Arial"/>
          <w:sz w:val="20"/>
        </w:rPr>
        <w:t xml:space="preserve"> </w:t>
      </w:r>
      <w:r w:rsidRPr="005666F0">
        <w:rPr>
          <w:rFonts w:ascii="Arial" w:hAnsi="Arial"/>
          <w:sz w:val="20"/>
        </w:rPr>
        <w:t xml:space="preserve">% de retención de obras y servicios, del mes de marzo de 2023, mismos que se pagarán a Hacienda Federal y Estatal </w:t>
      </w:r>
      <w:r w:rsidR="00A61C25">
        <w:rPr>
          <w:rFonts w:ascii="Arial" w:hAnsi="Arial"/>
          <w:sz w:val="20"/>
        </w:rPr>
        <w:t>en los próximos trimestres.</w:t>
      </w:r>
    </w:p>
    <w:p w14:paraId="1930CECC" w14:textId="77777777" w:rsidR="005666F0" w:rsidRPr="005666F0" w:rsidRDefault="005666F0" w:rsidP="005666F0">
      <w:pPr>
        <w:jc w:val="both"/>
        <w:rPr>
          <w:rFonts w:ascii="Arial" w:hAnsi="Arial"/>
          <w:sz w:val="20"/>
        </w:rPr>
      </w:pPr>
      <w:r w:rsidRPr="005666F0">
        <w:rPr>
          <w:rFonts w:ascii="Arial" w:hAnsi="Arial"/>
          <w:sz w:val="20"/>
        </w:rPr>
        <w:t xml:space="preserve"> </w:t>
      </w:r>
    </w:p>
    <w:p w14:paraId="007A1ED0" w14:textId="77777777" w:rsidR="005666F0" w:rsidRPr="005666F0" w:rsidRDefault="005666F0" w:rsidP="005666F0">
      <w:pPr>
        <w:jc w:val="both"/>
        <w:rPr>
          <w:rFonts w:ascii="Arial" w:hAnsi="Arial"/>
          <w:sz w:val="20"/>
        </w:rPr>
      </w:pPr>
      <w:r w:rsidRPr="005666F0">
        <w:rPr>
          <w:rFonts w:ascii="Arial" w:hAnsi="Arial"/>
          <w:sz w:val="20"/>
        </w:rPr>
        <w:t>También, se incluyen los compromisos pendientes de pago a cargo del Instituto, tales como, pensión alimenticia, diversas cuotas sindicales, adeudos a empresas crediticias, entre otros, mismos que se encuentran en proceso de integración contable para su depuración correspondiente.</w:t>
      </w:r>
    </w:p>
    <w:p w14:paraId="67FCB59A" w14:textId="77777777" w:rsidR="005666F0" w:rsidRPr="005666F0" w:rsidRDefault="005666F0" w:rsidP="005666F0">
      <w:pPr>
        <w:jc w:val="both"/>
        <w:rPr>
          <w:rFonts w:ascii="Arial" w:hAnsi="Arial"/>
          <w:sz w:val="20"/>
        </w:rPr>
      </w:pPr>
    </w:p>
    <w:p w14:paraId="64CFBCF2" w14:textId="2A88257B" w:rsidR="005666F0" w:rsidRPr="005666F0" w:rsidRDefault="002A3120" w:rsidP="005666F0">
      <w:pPr>
        <w:jc w:val="center"/>
        <w:rPr>
          <w:rFonts w:ascii="Arial" w:hAnsi="Arial"/>
          <w:noProof/>
          <w:sz w:val="20"/>
          <w:lang w:eastAsia="es-MX"/>
        </w:rPr>
      </w:pPr>
      <w:r w:rsidRPr="002A3120">
        <w:rPr>
          <w:noProof/>
        </w:rPr>
        <w:lastRenderedPageBreak/>
        <w:drawing>
          <wp:inline distT="0" distB="0" distL="0" distR="0" wp14:anchorId="508AD31A" wp14:editId="2A6CC9D8">
            <wp:extent cx="4371975" cy="2171700"/>
            <wp:effectExtent l="0" t="0" r="9525"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71975" cy="2171700"/>
                    </a:xfrm>
                    <a:prstGeom prst="rect">
                      <a:avLst/>
                    </a:prstGeom>
                    <a:noFill/>
                    <a:ln>
                      <a:noFill/>
                    </a:ln>
                  </pic:spPr>
                </pic:pic>
              </a:graphicData>
            </a:graphic>
          </wp:inline>
        </w:drawing>
      </w:r>
    </w:p>
    <w:p w14:paraId="109079B7" w14:textId="77777777" w:rsidR="005666F0" w:rsidRPr="005666F0" w:rsidRDefault="005666F0" w:rsidP="005666F0">
      <w:pPr>
        <w:jc w:val="both"/>
        <w:outlineLvl w:val="0"/>
        <w:rPr>
          <w:rFonts w:ascii="Arial" w:hAnsi="Arial"/>
          <w:sz w:val="20"/>
        </w:rPr>
      </w:pPr>
    </w:p>
    <w:p w14:paraId="119A273E" w14:textId="77777777" w:rsidR="005666F0" w:rsidRPr="005666F0" w:rsidRDefault="005666F0" w:rsidP="005666F0">
      <w:pPr>
        <w:jc w:val="both"/>
        <w:outlineLvl w:val="0"/>
        <w:rPr>
          <w:rFonts w:ascii="Arial" w:hAnsi="Arial"/>
          <w:sz w:val="20"/>
        </w:rPr>
      </w:pPr>
    </w:p>
    <w:p w14:paraId="61E02D1E" w14:textId="2A4C4E13" w:rsidR="005666F0" w:rsidRPr="005666F0" w:rsidRDefault="00D96093" w:rsidP="005666F0">
      <w:pPr>
        <w:jc w:val="both"/>
        <w:outlineLvl w:val="0"/>
        <w:rPr>
          <w:rFonts w:ascii="Arial" w:hAnsi="Arial"/>
          <w:b/>
          <w:bCs/>
          <w:i/>
          <w:sz w:val="20"/>
          <w:u w:val="single"/>
        </w:rPr>
      </w:pPr>
      <w:r>
        <w:rPr>
          <w:rFonts w:ascii="Arial" w:hAnsi="Arial"/>
          <w:b/>
          <w:bCs/>
          <w:i/>
          <w:sz w:val="20"/>
          <w:u w:val="single"/>
        </w:rPr>
        <w:t>Fondos y bienes de terceros en garantía y/o administración a corto plazo</w:t>
      </w:r>
    </w:p>
    <w:p w14:paraId="702FCF8E" w14:textId="77777777" w:rsidR="005666F0" w:rsidRPr="005666F0" w:rsidRDefault="005666F0" w:rsidP="005666F0">
      <w:pPr>
        <w:tabs>
          <w:tab w:val="left" w:pos="1418"/>
        </w:tabs>
        <w:autoSpaceDE w:val="0"/>
        <w:autoSpaceDN w:val="0"/>
        <w:adjustRightInd w:val="0"/>
        <w:jc w:val="both"/>
        <w:rPr>
          <w:rFonts w:ascii="Arial" w:hAnsi="Arial"/>
          <w:b/>
          <w:i/>
          <w:sz w:val="20"/>
        </w:rPr>
      </w:pPr>
    </w:p>
    <w:p w14:paraId="753A7DDB" w14:textId="1E7376AE" w:rsidR="005666F0" w:rsidRPr="005666F0" w:rsidRDefault="005666F0" w:rsidP="005666F0">
      <w:pPr>
        <w:jc w:val="both"/>
        <w:rPr>
          <w:rFonts w:ascii="Arial" w:hAnsi="Arial"/>
          <w:bCs/>
          <w:sz w:val="20"/>
        </w:rPr>
      </w:pPr>
      <w:r w:rsidRPr="005666F0">
        <w:rPr>
          <w:rFonts w:ascii="Arial" w:hAnsi="Arial"/>
          <w:bCs/>
          <w:sz w:val="20"/>
        </w:rPr>
        <w:t xml:space="preserve">Este rubro al </w:t>
      </w:r>
      <w:r w:rsidR="008E371A">
        <w:rPr>
          <w:rFonts w:ascii="Arial" w:hAnsi="Arial"/>
          <w:bCs/>
          <w:sz w:val="20"/>
        </w:rPr>
        <w:t xml:space="preserve">30 de </w:t>
      </w:r>
      <w:r w:rsidR="00CB0BB7">
        <w:rPr>
          <w:rFonts w:ascii="Arial" w:hAnsi="Arial"/>
          <w:bCs/>
          <w:sz w:val="20"/>
        </w:rPr>
        <w:t xml:space="preserve">septiembre </w:t>
      </w:r>
      <w:r w:rsidRPr="005666F0">
        <w:rPr>
          <w:rFonts w:ascii="Arial" w:hAnsi="Arial"/>
          <w:bCs/>
          <w:sz w:val="20"/>
        </w:rPr>
        <w:t>del 2023, asciende a 3</w:t>
      </w:r>
      <w:r w:rsidR="00CB0BB7">
        <w:rPr>
          <w:rFonts w:ascii="Arial" w:hAnsi="Arial"/>
          <w:bCs/>
          <w:sz w:val="20"/>
        </w:rPr>
        <w:t>62.0</w:t>
      </w:r>
      <w:r w:rsidRPr="005666F0">
        <w:rPr>
          <w:rFonts w:ascii="Arial" w:hAnsi="Arial"/>
          <w:bCs/>
          <w:sz w:val="20"/>
        </w:rPr>
        <w:t xml:space="preserve"> millones de pesos, representando el </w:t>
      </w:r>
      <w:r w:rsidR="00CB0BB7">
        <w:rPr>
          <w:rFonts w:ascii="Arial" w:hAnsi="Arial"/>
          <w:bCs/>
          <w:sz w:val="20"/>
        </w:rPr>
        <w:t>71.3</w:t>
      </w:r>
      <w:r w:rsidRPr="005666F0">
        <w:rPr>
          <w:rFonts w:ascii="Arial" w:hAnsi="Arial"/>
          <w:bCs/>
          <w:sz w:val="20"/>
        </w:rPr>
        <w:t xml:space="preserve"> % del total de pasivo circulante, mismo que se integra por rentas del centro deportivo y préstamos por pagar, así como recuperación de préstamos por aplicar, descuentos indebidos de préstamos, intereses cobrados del fondo de préstamos, 1 % de cuotas y aportaciones del fondo de préstamos y rendimientos bancarios del fondo de préstamos.</w:t>
      </w:r>
    </w:p>
    <w:p w14:paraId="5FFB43C0" w14:textId="77777777" w:rsidR="005666F0" w:rsidRPr="005666F0" w:rsidRDefault="005666F0" w:rsidP="005666F0">
      <w:pPr>
        <w:jc w:val="both"/>
        <w:rPr>
          <w:rFonts w:ascii="Arial" w:hAnsi="Arial"/>
          <w:bCs/>
          <w:sz w:val="20"/>
        </w:rPr>
      </w:pPr>
    </w:p>
    <w:p w14:paraId="45630D11" w14:textId="2EDE023E" w:rsidR="005666F0" w:rsidRPr="005666F0" w:rsidRDefault="002A3120" w:rsidP="005666F0">
      <w:pPr>
        <w:jc w:val="center"/>
        <w:rPr>
          <w:rFonts w:ascii="Arial" w:hAnsi="Arial"/>
          <w:sz w:val="20"/>
        </w:rPr>
      </w:pPr>
      <w:r w:rsidRPr="002A3120">
        <w:rPr>
          <w:noProof/>
        </w:rPr>
        <w:drawing>
          <wp:inline distT="0" distB="0" distL="0" distR="0" wp14:anchorId="7276242C" wp14:editId="6A99F1CC">
            <wp:extent cx="4371975" cy="1476375"/>
            <wp:effectExtent l="0" t="0" r="9525" b="9525"/>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71975" cy="1476375"/>
                    </a:xfrm>
                    <a:prstGeom prst="rect">
                      <a:avLst/>
                    </a:prstGeom>
                    <a:noFill/>
                    <a:ln>
                      <a:noFill/>
                    </a:ln>
                  </pic:spPr>
                </pic:pic>
              </a:graphicData>
            </a:graphic>
          </wp:inline>
        </w:drawing>
      </w:r>
    </w:p>
    <w:p w14:paraId="03F929BC" w14:textId="77777777" w:rsidR="005666F0" w:rsidRPr="005666F0" w:rsidRDefault="005666F0" w:rsidP="005666F0">
      <w:pPr>
        <w:jc w:val="both"/>
        <w:outlineLvl w:val="0"/>
        <w:rPr>
          <w:rFonts w:ascii="Arial" w:hAnsi="Arial"/>
          <w:sz w:val="20"/>
        </w:rPr>
      </w:pPr>
    </w:p>
    <w:p w14:paraId="08C2BBA3" w14:textId="77777777" w:rsidR="005666F0" w:rsidRPr="005666F0" w:rsidRDefault="005666F0" w:rsidP="005666F0">
      <w:pPr>
        <w:jc w:val="both"/>
        <w:outlineLvl w:val="0"/>
        <w:rPr>
          <w:rFonts w:ascii="Arial" w:hAnsi="Arial"/>
          <w:b/>
          <w:bCs/>
          <w:i/>
          <w:sz w:val="20"/>
        </w:rPr>
      </w:pPr>
    </w:p>
    <w:p w14:paraId="31A50161" w14:textId="77777777" w:rsidR="005666F0" w:rsidRPr="005666F0" w:rsidRDefault="005666F0" w:rsidP="005666F0">
      <w:pPr>
        <w:jc w:val="both"/>
        <w:outlineLvl w:val="0"/>
        <w:rPr>
          <w:rFonts w:ascii="Arial" w:hAnsi="Arial"/>
          <w:b/>
          <w:bCs/>
          <w:i/>
          <w:sz w:val="20"/>
          <w:u w:val="single"/>
        </w:rPr>
      </w:pPr>
      <w:r w:rsidRPr="005666F0">
        <w:rPr>
          <w:rFonts w:ascii="Arial" w:hAnsi="Arial"/>
          <w:b/>
          <w:bCs/>
          <w:i/>
          <w:sz w:val="20"/>
          <w:u w:val="single"/>
        </w:rPr>
        <w:t>Otros pasivos a corto plazo</w:t>
      </w:r>
    </w:p>
    <w:p w14:paraId="2232C3AD" w14:textId="77777777" w:rsidR="005666F0" w:rsidRPr="005666F0" w:rsidRDefault="005666F0" w:rsidP="005666F0">
      <w:pPr>
        <w:tabs>
          <w:tab w:val="left" w:pos="1418"/>
        </w:tabs>
        <w:autoSpaceDE w:val="0"/>
        <w:autoSpaceDN w:val="0"/>
        <w:adjustRightInd w:val="0"/>
        <w:jc w:val="both"/>
        <w:rPr>
          <w:rFonts w:ascii="Arial" w:hAnsi="Arial"/>
          <w:b/>
          <w:i/>
          <w:sz w:val="20"/>
        </w:rPr>
      </w:pPr>
    </w:p>
    <w:p w14:paraId="10898ABC" w14:textId="44C66C94" w:rsidR="005666F0" w:rsidRPr="005666F0" w:rsidRDefault="005666F0" w:rsidP="005666F0">
      <w:pPr>
        <w:jc w:val="both"/>
        <w:rPr>
          <w:rFonts w:ascii="Arial" w:hAnsi="Arial"/>
          <w:bCs/>
          <w:sz w:val="20"/>
        </w:rPr>
      </w:pPr>
      <w:r w:rsidRPr="005666F0">
        <w:rPr>
          <w:rFonts w:ascii="Arial" w:hAnsi="Arial"/>
          <w:bCs/>
          <w:sz w:val="20"/>
        </w:rPr>
        <w:t xml:space="preserve">Al </w:t>
      </w:r>
      <w:r w:rsidR="008E371A">
        <w:rPr>
          <w:rFonts w:ascii="Arial" w:hAnsi="Arial"/>
          <w:bCs/>
          <w:sz w:val="20"/>
        </w:rPr>
        <w:t xml:space="preserve">30 de </w:t>
      </w:r>
      <w:r w:rsidR="00CB0BB7">
        <w:rPr>
          <w:rFonts w:ascii="Arial" w:hAnsi="Arial"/>
          <w:bCs/>
          <w:sz w:val="20"/>
        </w:rPr>
        <w:t xml:space="preserve">septiembre </w:t>
      </w:r>
      <w:r w:rsidRPr="005666F0">
        <w:rPr>
          <w:rFonts w:ascii="Arial" w:hAnsi="Arial"/>
          <w:bCs/>
          <w:sz w:val="20"/>
        </w:rPr>
        <w:t xml:space="preserve">del 2023, este rubro asciende a </w:t>
      </w:r>
      <w:r w:rsidR="00CB0BB7">
        <w:rPr>
          <w:rFonts w:ascii="Arial" w:hAnsi="Arial"/>
          <w:bCs/>
          <w:sz w:val="20"/>
        </w:rPr>
        <w:t>0.6</w:t>
      </w:r>
      <w:r w:rsidRPr="005666F0">
        <w:rPr>
          <w:rFonts w:ascii="Arial" w:hAnsi="Arial"/>
          <w:bCs/>
          <w:sz w:val="20"/>
        </w:rPr>
        <w:t xml:space="preserve"> millones de pesos, representando el </w:t>
      </w:r>
      <w:r w:rsidR="00CB0BB7">
        <w:rPr>
          <w:rFonts w:ascii="Arial" w:hAnsi="Arial"/>
          <w:bCs/>
          <w:sz w:val="20"/>
        </w:rPr>
        <w:t>0.1</w:t>
      </w:r>
      <w:r w:rsidRPr="005666F0">
        <w:rPr>
          <w:rFonts w:ascii="Arial" w:hAnsi="Arial"/>
          <w:bCs/>
          <w:sz w:val="20"/>
        </w:rPr>
        <w:t xml:space="preserve"> % del total de pasivo circulante, integrado por depósitos bancarios por aclarar del periodo que se informa.</w:t>
      </w:r>
    </w:p>
    <w:p w14:paraId="079BFB55" w14:textId="77777777" w:rsidR="005666F0" w:rsidRPr="005666F0" w:rsidRDefault="005666F0" w:rsidP="005666F0">
      <w:pPr>
        <w:jc w:val="both"/>
        <w:rPr>
          <w:rFonts w:ascii="Arial" w:hAnsi="Arial"/>
          <w:bCs/>
          <w:sz w:val="20"/>
        </w:rPr>
      </w:pPr>
    </w:p>
    <w:p w14:paraId="0605A5BA" w14:textId="4E1A6A6F" w:rsidR="005666F0" w:rsidRPr="005666F0" w:rsidRDefault="002A3120" w:rsidP="005666F0">
      <w:pPr>
        <w:jc w:val="center"/>
        <w:rPr>
          <w:rFonts w:ascii="Arial" w:hAnsi="Arial"/>
          <w:bCs/>
          <w:sz w:val="20"/>
        </w:rPr>
      </w:pPr>
      <w:r w:rsidRPr="002A3120">
        <w:rPr>
          <w:noProof/>
        </w:rPr>
        <w:drawing>
          <wp:inline distT="0" distB="0" distL="0" distR="0" wp14:anchorId="4B270C36" wp14:editId="68598A45">
            <wp:extent cx="4371975" cy="1009650"/>
            <wp:effectExtent l="0" t="0" r="9525"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71975" cy="1009650"/>
                    </a:xfrm>
                    <a:prstGeom prst="rect">
                      <a:avLst/>
                    </a:prstGeom>
                    <a:noFill/>
                    <a:ln>
                      <a:noFill/>
                    </a:ln>
                  </pic:spPr>
                </pic:pic>
              </a:graphicData>
            </a:graphic>
          </wp:inline>
        </w:drawing>
      </w:r>
    </w:p>
    <w:p w14:paraId="21B38CBD" w14:textId="77777777" w:rsidR="005666F0" w:rsidRPr="005666F0" w:rsidRDefault="005666F0" w:rsidP="005666F0">
      <w:pPr>
        <w:autoSpaceDE w:val="0"/>
        <w:autoSpaceDN w:val="0"/>
        <w:adjustRightInd w:val="0"/>
        <w:jc w:val="both"/>
        <w:rPr>
          <w:rFonts w:ascii="Arial" w:hAnsi="Arial" w:cs="Arial"/>
          <w:b/>
          <w:bCs/>
          <w:sz w:val="20"/>
          <w:szCs w:val="20"/>
        </w:rPr>
      </w:pPr>
    </w:p>
    <w:p w14:paraId="002B0309" w14:textId="6671F758" w:rsidR="005666F0" w:rsidRDefault="005666F0" w:rsidP="005666F0">
      <w:pPr>
        <w:jc w:val="both"/>
        <w:rPr>
          <w:rFonts w:ascii="Arial" w:hAnsi="Arial" w:cs="Arial"/>
          <w:sz w:val="20"/>
          <w:szCs w:val="20"/>
        </w:rPr>
      </w:pPr>
    </w:p>
    <w:p w14:paraId="3D2ACEB3" w14:textId="0FBB2669" w:rsidR="002A3120" w:rsidRDefault="002A3120" w:rsidP="005666F0">
      <w:pPr>
        <w:jc w:val="both"/>
        <w:rPr>
          <w:rFonts w:ascii="Arial" w:hAnsi="Arial" w:cs="Arial"/>
          <w:sz w:val="20"/>
          <w:szCs w:val="20"/>
        </w:rPr>
      </w:pPr>
    </w:p>
    <w:p w14:paraId="19BD5167" w14:textId="0EE8AC4B" w:rsidR="002A3120" w:rsidRDefault="002A3120" w:rsidP="005666F0">
      <w:pPr>
        <w:jc w:val="both"/>
        <w:rPr>
          <w:rFonts w:ascii="Arial" w:hAnsi="Arial" w:cs="Arial"/>
          <w:sz w:val="20"/>
          <w:szCs w:val="20"/>
        </w:rPr>
      </w:pPr>
    </w:p>
    <w:p w14:paraId="0F2684DA" w14:textId="53C35D3C" w:rsidR="002A3120" w:rsidRDefault="002A3120" w:rsidP="005666F0">
      <w:pPr>
        <w:jc w:val="both"/>
        <w:rPr>
          <w:rFonts w:ascii="Arial" w:hAnsi="Arial" w:cs="Arial"/>
          <w:sz w:val="20"/>
          <w:szCs w:val="20"/>
        </w:rPr>
      </w:pPr>
    </w:p>
    <w:p w14:paraId="08DCAFED" w14:textId="1555C482" w:rsidR="002A3120" w:rsidRDefault="002A3120" w:rsidP="005666F0">
      <w:pPr>
        <w:jc w:val="both"/>
        <w:rPr>
          <w:rFonts w:ascii="Arial" w:hAnsi="Arial" w:cs="Arial"/>
          <w:sz w:val="20"/>
          <w:szCs w:val="20"/>
        </w:rPr>
      </w:pPr>
    </w:p>
    <w:p w14:paraId="1660658D" w14:textId="0B24A027" w:rsidR="002A3120" w:rsidRDefault="002A3120" w:rsidP="005666F0">
      <w:pPr>
        <w:jc w:val="both"/>
        <w:rPr>
          <w:rFonts w:ascii="Arial" w:hAnsi="Arial" w:cs="Arial"/>
          <w:sz w:val="20"/>
          <w:szCs w:val="20"/>
        </w:rPr>
      </w:pPr>
    </w:p>
    <w:p w14:paraId="1720A80D" w14:textId="5ADBB0D2" w:rsidR="002A3120" w:rsidRDefault="002A3120" w:rsidP="005666F0">
      <w:pPr>
        <w:jc w:val="both"/>
        <w:rPr>
          <w:rFonts w:ascii="Arial" w:hAnsi="Arial" w:cs="Arial"/>
          <w:sz w:val="20"/>
          <w:szCs w:val="20"/>
        </w:rPr>
      </w:pPr>
    </w:p>
    <w:p w14:paraId="391B47AC" w14:textId="66997417" w:rsidR="002A3120" w:rsidRDefault="002A3120" w:rsidP="005666F0">
      <w:pPr>
        <w:jc w:val="both"/>
        <w:rPr>
          <w:rFonts w:ascii="Arial" w:hAnsi="Arial" w:cs="Arial"/>
          <w:sz w:val="20"/>
          <w:szCs w:val="20"/>
        </w:rPr>
      </w:pPr>
    </w:p>
    <w:p w14:paraId="280771B2" w14:textId="40A17D40" w:rsidR="002A3120" w:rsidRDefault="002A3120" w:rsidP="005666F0">
      <w:pPr>
        <w:jc w:val="both"/>
        <w:rPr>
          <w:rFonts w:ascii="Arial" w:hAnsi="Arial" w:cs="Arial"/>
          <w:sz w:val="20"/>
          <w:szCs w:val="20"/>
        </w:rPr>
      </w:pPr>
    </w:p>
    <w:p w14:paraId="0E4ED3F3" w14:textId="77777777" w:rsidR="002A3120" w:rsidRPr="005666F0" w:rsidRDefault="002A3120" w:rsidP="005666F0">
      <w:pPr>
        <w:jc w:val="both"/>
        <w:rPr>
          <w:rFonts w:ascii="Arial" w:hAnsi="Arial" w:cs="Arial"/>
          <w:sz w:val="20"/>
          <w:szCs w:val="20"/>
        </w:rPr>
      </w:pPr>
    </w:p>
    <w:p w14:paraId="066595AE" w14:textId="77777777" w:rsidR="005666F0" w:rsidRPr="005666F0" w:rsidRDefault="005666F0" w:rsidP="005666F0">
      <w:pPr>
        <w:pStyle w:val="Subttulo"/>
      </w:pPr>
      <w:r w:rsidRPr="005666F0">
        <w:lastRenderedPageBreak/>
        <w:t>No circulante</w:t>
      </w:r>
    </w:p>
    <w:p w14:paraId="022BE076" w14:textId="77777777" w:rsidR="005666F0" w:rsidRPr="005666F0" w:rsidRDefault="005666F0" w:rsidP="005666F0">
      <w:pPr>
        <w:autoSpaceDE w:val="0"/>
        <w:autoSpaceDN w:val="0"/>
        <w:adjustRightInd w:val="0"/>
        <w:jc w:val="both"/>
        <w:rPr>
          <w:rFonts w:ascii="Arial" w:hAnsi="Arial" w:cs="Arial"/>
          <w:b/>
          <w:bCs/>
          <w:sz w:val="20"/>
          <w:szCs w:val="20"/>
        </w:rPr>
      </w:pPr>
    </w:p>
    <w:p w14:paraId="684EB916" w14:textId="1085C8EB" w:rsidR="005666F0" w:rsidRPr="005666F0" w:rsidRDefault="00045F9A" w:rsidP="005666F0">
      <w:pPr>
        <w:autoSpaceDE w:val="0"/>
        <w:autoSpaceDN w:val="0"/>
        <w:adjustRightInd w:val="0"/>
        <w:jc w:val="center"/>
        <w:rPr>
          <w:rFonts w:ascii="Arial" w:hAnsi="Arial" w:cs="Arial"/>
          <w:b/>
          <w:bCs/>
          <w:sz w:val="20"/>
          <w:szCs w:val="20"/>
        </w:rPr>
      </w:pPr>
      <w:r>
        <w:rPr>
          <w:rFonts w:ascii="Arial" w:hAnsi="Arial" w:cs="Arial"/>
          <w:b/>
          <w:bCs/>
          <w:noProof/>
          <w:sz w:val="20"/>
          <w:szCs w:val="20"/>
        </w:rPr>
        <w:drawing>
          <wp:inline distT="0" distB="0" distL="0" distR="0" wp14:anchorId="264072DD" wp14:editId="26F14236">
            <wp:extent cx="3822700" cy="3096895"/>
            <wp:effectExtent l="0" t="0" r="6350" b="8255"/>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22700" cy="3096895"/>
                    </a:xfrm>
                    <a:prstGeom prst="rect">
                      <a:avLst/>
                    </a:prstGeom>
                    <a:noFill/>
                  </pic:spPr>
                </pic:pic>
              </a:graphicData>
            </a:graphic>
          </wp:inline>
        </w:drawing>
      </w:r>
    </w:p>
    <w:p w14:paraId="2F1F7B9E" w14:textId="77777777" w:rsidR="005666F0" w:rsidRPr="005666F0" w:rsidRDefault="005666F0" w:rsidP="005666F0">
      <w:pPr>
        <w:tabs>
          <w:tab w:val="left" w:pos="1418"/>
        </w:tabs>
        <w:autoSpaceDE w:val="0"/>
        <w:autoSpaceDN w:val="0"/>
        <w:adjustRightInd w:val="0"/>
        <w:jc w:val="both"/>
        <w:rPr>
          <w:rFonts w:ascii="Arial" w:hAnsi="Arial"/>
          <w:b/>
          <w:i/>
          <w:sz w:val="20"/>
        </w:rPr>
      </w:pPr>
    </w:p>
    <w:p w14:paraId="65D61D6F" w14:textId="77777777" w:rsidR="005666F0" w:rsidRPr="005666F0" w:rsidRDefault="005666F0" w:rsidP="005666F0">
      <w:pPr>
        <w:tabs>
          <w:tab w:val="left" w:pos="1418"/>
        </w:tabs>
        <w:autoSpaceDE w:val="0"/>
        <w:autoSpaceDN w:val="0"/>
        <w:adjustRightInd w:val="0"/>
        <w:jc w:val="both"/>
        <w:rPr>
          <w:rFonts w:ascii="Arial" w:hAnsi="Arial"/>
          <w:b/>
          <w:i/>
          <w:sz w:val="20"/>
        </w:rPr>
      </w:pPr>
    </w:p>
    <w:p w14:paraId="62341EA3" w14:textId="77777777" w:rsidR="005666F0" w:rsidRPr="005666F0" w:rsidRDefault="005666F0" w:rsidP="005666F0">
      <w:pPr>
        <w:jc w:val="both"/>
        <w:outlineLvl w:val="0"/>
        <w:rPr>
          <w:rFonts w:ascii="Arial" w:hAnsi="Arial"/>
          <w:b/>
          <w:bCs/>
          <w:i/>
          <w:sz w:val="20"/>
          <w:u w:val="single"/>
        </w:rPr>
      </w:pPr>
      <w:r w:rsidRPr="005666F0">
        <w:rPr>
          <w:rFonts w:ascii="Arial" w:hAnsi="Arial"/>
          <w:b/>
          <w:bCs/>
          <w:i/>
          <w:sz w:val="20"/>
          <w:u w:val="single"/>
        </w:rPr>
        <w:t>Cuentas por pagar a largo plazo</w:t>
      </w:r>
    </w:p>
    <w:p w14:paraId="048841F6" w14:textId="77777777" w:rsidR="005666F0" w:rsidRPr="005666F0" w:rsidRDefault="005666F0" w:rsidP="005666F0">
      <w:pPr>
        <w:tabs>
          <w:tab w:val="left" w:pos="1418"/>
        </w:tabs>
        <w:autoSpaceDE w:val="0"/>
        <w:autoSpaceDN w:val="0"/>
        <w:adjustRightInd w:val="0"/>
        <w:jc w:val="both"/>
        <w:rPr>
          <w:rFonts w:ascii="Arial" w:hAnsi="Arial"/>
          <w:b/>
          <w:i/>
          <w:color w:val="B09A5B"/>
          <w:sz w:val="20"/>
        </w:rPr>
      </w:pPr>
    </w:p>
    <w:p w14:paraId="7A573FAC" w14:textId="77777777" w:rsidR="005666F0" w:rsidRPr="005666F0" w:rsidRDefault="005666F0" w:rsidP="005666F0">
      <w:pPr>
        <w:spacing w:line="100" w:lineRule="atLeast"/>
        <w:jc w:val="both"/>
        <w:rPr>
          <w:rFonts w:ascii="Arial" w:hAnsi="Arial"/>
          <w:sz w:val="20"/>
        </w:rPr>
      </w:pPr>
      <w:r w:rsidRPr="005666F0">
        <w:rPr>
          <w:rFonts w:ascii="Arial" w:hAnsi="Arial"/>
          <w:sz w:val="20"/>
        </w:rPr>
        <w:t>Este rubro se integra por los compromisos pendientes de pago a proveedores y prestadores de servicios, por la adquisición de productos farmacéuticos e insumos médicos y prestación de servicios, importe que está en proceso de depuración para su pago.</w:t>
      </w:r>
    </w:p>
    <w:p w14:paraId="0032AA5E" w14:textId="77777777" w:rsidR="005666F0" w:rsidRPr="005666F0" w:rsidRDefault="005666F0" w:rsidP="005666F0">
      <w:pPr>
        <w:spacing w:line="100" w:lineRule="atLeast"/>
        <w:jc w:val="both"/>
        <w:rPr>
          <w:rFonts w:ascii="Arial" w:hAnsi="Arial"/>
          <w:sz w:val="20"/>
        </w:rPr>
      </w:pPr>
    </w:p>
    <w:p w14:paraId="32BE7572" w14:textId="6C8423D5" w:rsidR="005666F0" w:rsidRPr="005666F0" w:rsidRDefault="005666F0" w:rsidP="005666F0">
      <w:pPr>
        <w:jc w:val="both"/>
        <w:outlineLvl w:val="0"/>
        <w:rPr>
          <w:rFonts w:ascii="Arial" w:hAnsi="Arial"/>
          <w:sz w:val="20"/>
        </w:rPr>
      </w:pPr>
      <w:r w:rsidRPr="005666F0">
        <w:rPr>
          <w:rFonts w:ascii="Arial" w:hAnsi="Arial"/>
          <w:sz w:val="20"/>
        </w:rPr>
        <w:t xml:space="preserve">Al </w:t>
      </w:r>
      <w:r w:rsidR="008E371A">
        <w:rPr>
          <w:rFonts w:ascii="Arial" w:hAnsi="Arial"/>
          <w:sz w:val="20"/>
        </w:rPr>
        <w:t xml:space="preserve">30 de </w:t>
      </w:r>
      <w:r w:rsidR="00CB0BB7">
        <w:rPr>
          <w:rFonts w:ascii="Arial" w:hAnsi="Arial"/>
          <w:sz w:val="20"/>
        </w:rPr>
        <w:t xml:space="preserve">septiembre </w:t>
      </w:r>
      <w:r w:rsidRPr="005666F0">
        <w:rPr>
          <w:rFonts w:ascii="Arial" w:hAnsi="Arial"/>
          <w:sz w:val="20"/>
        </w:rPr>
        <w:t xml:space="preserve">de 2023, este rubro asciende a </w:t>
      </w:r>
      <w:r w:rsidR="00CB0BB7">
        <w:rPr>
          <w:rFonts w:ascii="Arial" w:hAnsi="Arial"/>
          <w:sz w:val="20"/>
        </w:rPr>
        <w:t>609.6</w:t>
      </w:r>
      <w:r w:rsidRPr="005666F0">
        <w:rPr>
          <w:rFonts w:ascii="Arial" w:hAnsi="Arial"/>
          <w:sz w:val="20"/>
        </w:rPr>
        <w:t xml:space="preserve"> </w:t>
      </w:r>
      <w:r w:rsidRPr="005666F0">
        <w:rPr>
          <w:rFonts w:ascii="Arial" w:hAnsi="Arial"/>
          <w:bCs/>
          <w:sz w:val="20"/>
        </w:rPr>
        <w:t>millones de pesos y representa el 50.</w:t>
      </w:r>
      <w:r w:rsidR="00CB0BB7">
        <w:rPr>
          <w:rFonts w:ascii="Arial" w:hAnsi="Arial"/>
          <w:bCs/>
          <w:sz w:val="20"/>
        </w:rPr>
        <w:t>6</w:t>
      </w:r>
      <w:r w:rsidRPr="005666F0">
        <w:rPr>
          <w:rFonts w:ascii="Arial" w:hAnsi="Arial"/>
          <w:bCs/>
          <w:sz w:val="20"/>
        </w:rPr>
        <w:t xml:space="preserve"> % del pasivo no circulante.</w:t>
      </w:r>
    </w:p>
    <w:p w14:paraId="4FAC7114" w14:textId="77777777" w:rsidR="005666F0" w:rsidRPr="005666F0" w:rsidRDefault="005666F0" w:rsidP="005666F0">
      <w:pPr>
        <w:jc w:val="both"/>
        <w:outlineLvl w:val="0"/>
        <w:rPr>
          <w:rFonts w:ascii="Arial" w:hAnsi="Arial"/>
          <w:sz w:val="20"/>
        </w:rPr>
      </w:pPr>
    </w:p>
    <w:p w14:paraId="257AEC40" w14:textId="79D153B8" w:rsidR="005666F0" w:rsidRPr="005666F0" w:rsidRDefault="00922E82" w:rsidP="005666F0">
      <w:pPr>
        <w:jc w:val="center"/>
        <w:outlineLvl w:val="0"/>
        <w:rPr>
          <w:rFonts w:ascii="Arial" w:hAnsi="Arial"/>
          <w:bCs/>
          <w:iCs/>
          <w:sz w:val="20"/>
        </w:rPr>
      </w:pPr>
      <w:r w:rsidRPr="00922E82">
        <w:rPr>
          <w:noProof/>
        </w:rPr>
        <w:drawing>
          <wp:inline distT="0" distB="0" distL="0" distR="0" wp14:anchorId="412DAC00" wp14:editId="0950BF8E">
            <wp:extent cx="4371975" cy="1009650"/>
            <wp:effectExtent l="0" t="0" r="9525"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71975" cy="1009650"/>
                    </a:xfrm>
                    <a:prstGeom prst="rect">
                      <a:avLst/>
                    </a:prstGeom>
                    <a:noFill/>
                    <a:ln>
                      <a:noFill/>
                    </a:ln>
                  </pic:spPr>
                </pic:pic>
              </a:graphicData>
            </a:graphic>
          </wp:inline>
        </w:drawing>
      </w:r>
    </w:p>
    <w:p w14:paraId="77C620DF" w14:textId="77777777" w:rsidR="005666F0" w:rsidRPr="005666F0" w:rsidRDefault="005666F0" w:rsidP="005666F0">
      <w:pPr>
        <w:tabs>
          <w:tab w:val="left" w:pos="1418"/>
        </w:tabs>
        <w:autoSpaceDE w:val="0"/>
        <w:autoSpaceDN w:val="0"/>
        <w:adjustRightInd w:val="0"/>
        <w:jc w:val="both"/>
        <w:rPr>
          <w:rFonts w:ascii="Arial" w:hAnsi="Arial"/>
          <w:b/>
          <w:i/>
          <w:sz w:val="20"/>
        </w:rPr>
      </w:pPr>
    </w:p>
    <w:p w14:paraId="06E8121C" w14:textId="77777777" w:rsidR="005666F0" w:rsidRPr="005666F0" w:rsidRDefault="005666F0" w:rsidP="005666F0">
      <w:pPr>
        <w:tabs>
          <w:tab w:val="left" w:pos="1418"/>
        </w:tabs>
        <w:autoSpaceDE w:val="0"/>
        <w:autoSpaceDN w:val="0"/>
        <w:adjustRightInd w:val="0"/>
        <w:jc w:val="both"/>
        <w:rPr>
          <w:rFonts w:ascii="Arial" w:hAnsi="Arial"/>
          <w:b/>
          <w:i/>
          <w:sz w:val="20"/>
        </w:rPr>
      </w:pPr>
    </w:p>
    <w:p w14:paraId="100B82D5" w14:textId="77777777" w:rsidR="005666F0" w:rsidRPr="005666F0" w:rsidRDefault="005666F0" w:rsidP="005666F0">
      <w:pPr>
        <w:jc w:val="both"/>
        <w:outlineLvl w:val="0"/>
        <w:rPr>
          <w:rFonts w:ascii="Arial" w:hAnsi="Arial"/>
          <w:b/>
          <w:bCs/>
          <w:i/>
          <w:sz w:val="20"/>
          <w:u w:val="single"/>
        </w:rPr>
      </w:pPr>
      <w:r w:rsidRPr="005666F0">
        <w:rPr>
          <w:rFonts w:ascii="Arial" w:hAnsi="Arial"/>
          <w:b/>
          <w:bCs/>
          <w:i/>
          <w:sz w:val="20"/>
          <w:u w:val="single"/>
        </w:rPr>
        <w:t>Pasivos diferidos a largo plazo</w:t>
      </w:r>
    </w:p>
    <w:p w14:paraId="24A6E3DF" w14:textId="77777777" w:rsidR="005666F0" w:rsidRPr="005666F0" w:rsidRDefault="005666F0" w:rsidP="005666F0">
      <w:pPr>
        <w:tabs>
          <w:tab w:val="left" w:pos="1418"/>
        </w:tabs>
        <w:autoSpaceDE w:val="0"/>
        <w:autoSpaceDN w:val="0"/>
        <w:adjustRightInd w:val="0"/>
        <w:jc w:val="both"/>
        <w:rPr>
          <w:rFonts w:ascii="Arial" w:hAnsi="Arial"/>
          <w:b/>
          <w:i/>
          <w:sz w:val="20"/>
        </w:rPr>
      </w:pPr>
    </w:p>
    <w:p w14:paraId="3180A839" w14:textId="77777777" w:rsidR="005666F0" w:rsidRPr="005666F0" w:rsidRDefault="005666F0" w:rsidP="005666F0">
      <w:pPr>
        <w:jc w:val="both"/>
        <w:outlineLvl w:val="0"/>
        <w:rPr>
          <w:rFonts w:ascii="Arial" w:hAnsi="Arial"/>
          <w:sz w:val="20"/>
        </w:rPr>
      </w:pPr>
      <w:r w:rsidRPr="005666F0">
        <w:rPr>
          <w:rFonts w:ascii="Arial" w:hAnsi="Arial"/>
          <w:sz w:val="20"/>
        </w:rPr>
        <w:t>Este rubro se integra en gran parte por conceptos como aguinaldo, sueldos, útiles escolares por pagar, descuentos indebidos de préstamos, descuentos efectuados a sindicatos, pensión alimenticia, becarios, quejas médicas, gastos funerales, seguro de vida mutualista, gastos de traslados a derechohabientes.</w:t>
      </w:r>
    </w:p>
    <w:p w14:paraId="2FC24DC0" w14:textId="77777777" w:rsidR="005666F0" w:rsidRPr="005666F0" w:rsidRDefault="005666F0" w:rsidP="005666F0">
      <w:pPr>
        <w:jc w:val="both"/>
        <w:outlineLvl w:val="0"/>
        <w:rPr>
          <w:rFonts w:ascii="Arial" w:hAnsi="Arial"/>
          <w:sz w:val="20"/>
        </w:rPr>
      </w:pPr>
    </w:p>
    <w:p w14:paraId="4C2D9DAF" w14:textId="6B1B856D" w:rsidR="005666F0" w:rsidRPr="005666F0" w:rsidRDefault="005666F0" w:rsidP="005666F0">
      <w:pPr>
        <w:jc w:val="both"/>
        <w:outlineLvl w:val="0"/>
        <w:rPr>
          <w:rFonts w:ascii="Arial" w:hAnsi="Arial"/>
          <w:bCs/>
          <w:sz w:val="20"/>
        </w:rPr>
      </w:pPr>
      <w:r w:rsidRPr="005666F0">
        <w:rPr>
          <w:rFonts w:ascii="Arial" w:hAnsi="Arial"/>
          <w:sz w:val="20"/>
        </w:rPr>
        <w:t xml:space="preserve">Al </w:t>
      </w:r>
      <w:r w:rsidR="008E371A">
        <w:rPr>
          <w:rFonts w:ascii="Arial" w:hAnsi="Arial"/>
          <w:sz w:val="20"/>
        </w:rPr>
        <w:t xml:space="preserve">30 de </w:t>
      </w:r>
      <w:r w:rsidR="00CB0BB7">
        <w:rPr>
          <w:rFonts w:ascii="Arial" w:hAnsi="Arial"/>
          <w:sz w:val="20"/>
        </w:rPr>
        <w:t xml:space="preserve">septiembre </w:t>
      </w:r>
      <w:r w:rsidRPr="005666F0">
        <w:rPr>
          <w:rFonts w:ascii="Arial" w:hAnsi="Arial"/>
          <w:sz w:val="20"/>
        </w:rPr>
        <w:t>de 2023, este rubro asciende a 4</w:t>
      </w:r>
      <w:r w:rsidR="00547581">
        <w:rPr>
          <w:rFonts w:ascii="Arial" w:hAnsi="Arial"/>
          <w:sz w:val="20"/>
        </w:rPr>
        <w:t>22.</w:t>
      </w:r>
      <w:r w:rsidR="00CB0BB7">
        <w:rPr>
          <w:rFonts w:ascii="Arial" w:hAnsi="Arial"/>
          <w:sz w:val="20"/>
        </w:rPr>
        <w:t>6</w:t>
      </w:r>
      <w:r w:rsidRPr="005666F0">
        <w:rPr>
          <w:rFonts w:ascii="Arial" w:hAnsi="Arial"/>
          <w:sz w:val="20"/>
        </w:rPr>
        <w:t xml:space="preserve"> </w:t>
      </w:r>
      <w:r w:rsidRPr="005666F0">
        <w:rPr>
          <w:rFonts w:ascii="Arial" w:hAnsi="Arial"/>
          <w:bCs/>
          <w:sz w:val="20"/>
        </w:rPr>
        <w:t>millones de pesos y representa el 35</w:t>
      </w:r>
      <w:r w:rsidR="00CB0BB7">
        <w:rPr>
          <w:rFonts w:ascii="Arial" w:hAnsi="Arial"/>
          <w:bCs/>
          <w:sz w:val="20"/>
        </w:rPr>
        <w:t>.1</w:t>
      </w:r>
      <w:r w:rsidRPr="005666F0">
        <w:rPr>
          <w:rFonts w:ascii="Arial" w:hAnsi="Arial"/>
          <w:bCs/>
          <w:sz w:val="20"/>
        </w:rPr>
        <w:t xml:space="preserve"> % del pasivo no circulante.</w:t>
      </w:r>
    </w:p>
    <w:p w14:paraId="0D0721BD" w14:textId="77777777" w:rsidR="005666F0" w:rsidRPr="005666F0" w:rsidRDefault="005666F0" w:rsidP="005666F0">
      <w:pPr>
        <w:jc w:val="both"/>
        <w:outlineLvl w:val="0"/>
        <w:rPr>
          <w:rFonts w:ascii="Arial" w:hAnsi="Arial"/>
          <w:sz w:val="20"/>
        </w:rPr>
      </w:pPr>
    </w:p>
    <w:p w14:paraId="65A5F6FF" w14:textId="3FD6AB22" w:rsidR="005666F0" w:rsidRPr="005666F0" w:rsidRDefault="00922E82" w:rsidP="005666F0">
      <w:pPr>
        <w:jc w:val="center"/>
        <w:outlineLvl w:val="0"/>
        <w:rPr>
          <w:rFonts w:ascii="Arial" w:hAnsi="Arial"/>
          <w:sz w:val="20"/>
        </w:rPr>
      </w:pPr>
      <w:r w:rsidRPr="00922E82">
        <w:rPr>
          <w:noProof/>
        </w:rPr>
        <w:drawing>
          <wp:inline distT="0" distB="0" distL="0" distR="0" wp14:anchorId="70F42B83" wp14:editId="66CF755F">
            <wp:extent cx="4371975" cy="1009650"/>
            <wp:effectExtent l="0" t="0" r="9525"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71975" cy="1009650"/>
                    </a:xfrm>
                    <a:prstGeom prst="rect">
                      <a:avLst/>
                    </a:prstGeom>
                    <a:noFill/>
                    <a:ln>
                      <a:noFill/>
                    </a:ln>
                  </pic:spPr>
                </pic:pic>
              </a:graphicData>
            </a:graphic>
          </wp:inline>
        </w:drawing>
      </w:r>
    </w:p>
    <w:p w14:paraId="286CE270" w14:textId="77777777" w:rsidR="005666F0" w:rsidRPr="005666F0" w:rsidRDefault="005666F0" w:rsidP="005666F0">
      <w:pPr>
        <w:jc w:val="both"/>
        <w:outlineLvl w:val="0"/>
        <w:rPr>
          <w:rFonts w:ascii="Arial" w:hAnsi="Arial"/>
          <w:b/>
          <w:bCs/>
          <w:i/>
          <w:sz w:val="20"/>
          <w:u w:val="single"/>
        </w:rPr>
      </w:pPr>
      <w:r w:rsidRPr="005666F0">
        <w:rPr>
          <w:rFonts w:ascii="Arial" w:hAnsi="Arial"/>
          <w:b/>
          <w:bCs/>
          <w:i/>
          <w:sz w:val="20"/>
          <w:u w:val="single"/>
        </w:rPr>
        <w:lastRenderedPageBreak/>
        <w:t>Fondos y bienes de terceros en garantía y/o administración a largo plazo</w:t>
      </w:r>
    </w:p>
    <w:p w14:paraId="7437A9A4" w14:textId="77777777" w:rsidR="005666F0" w:rsidRPr="005666F0" w:rsidRDefault="005666F0" w:rsidP="005666F0">
      <w:pPr>
        <w:tabs>
          <w:tab w:val="left" w:pos="1418"/>
        </w:tabs>
        <w:autoSpaceDE w:val="0"/>
        <w:autoSpaceDN w:val="0"/>
        <w:adjustRightInd w:val="0"/>
        <w:jc w:val="both"/>
        <w:rPr>
          <w:rFonts w:ascii="Arial" w:hAnsi="Arial"/>
          <w:b/>
          <w:i/>
          <w:sz w:val="20"/>
        </w:rPr>
      </w:pPr>
    </w:p>
    <w:p w14:paraId="1673F94F" w14:textId="32B6777B" w:rsidR="005666F0" w:rsidRPr="005666F0" w:rsidRDefault="005666F0" w:rsidP="005666F0">
      <w:pPr>
        <w:jc w:val="both"/>
        <w:outlineLvl w:val="0"/>
        <w:rPr>
          <w:rFonts w:ascii="Arial" w:hAnsi="Arial"/>
          <w:sz w:val="20"/>
        </w:rPr>
      </w:pPr>
      <w:r w:rsidRPr="005666F0">
        <w:rPr>
          <w:rFonts w:ascii="Arial" w:hAnsi="Arial"/>
          <w:sz w:val="20"/>
        </w:rPr>
        <w:t xml:space="preserve">Este rubro al </w:t>
      </w:r>
      <w:r w:rsidR="00CB0BB7">
        <w:rPr>
          <w:rFonts w:ascii="Arial" w:hAnsi="Arial"/>
          <w:sz w:val="20"/>
        </w:rPr>
        <w:t xml:space="preserve">30 de septiembre </w:t>
      </w:r>
      <w:r w:rsidRPr="005666F0">
        <w:rPr>
          <w:rFonts w:ascii="Arial" w:hAnsi="Arial"/>
          <w:sz w:val="20"/>
        </w:rPr>
        <w:t>de 2023, asciende a 17</w:t>
      </w:r>
      <w:r w:rsidR="00CB0BB7">
        <w:rPr>
          <w:rFonts w:ascii="Arial" w:hAnsi="Arial"/>
          <w:sz w:val="20"/>
        </w:rPr>
        <w:t>1.9</w:t>
      </w:r>
      <w:r w:rsidRPr="005666F0">
        <w:rPr>
          <w:rFonts w:ascii="Arial" w:hAnsi="Arial"/>
          <w:sz w:val="20"/>
        </w:rPr>
        <w:t xml:space="preserve"> millones de pesos </w:t>
      </w:r>
      <w:r w:rsidRPr="005666F0">
        <w:rPr>
          <w:rFonts w:ascii="Arial" w:hAnsi="Arial"/>
          <w:bCs/>
          <w:sz w:val="20"/>
        </w:rPr>
        <w:t>y representa el 1</w:t>
      </w:r>
      <w:r w:rsidR="00547581">
        <w:rPr>
          <w:rFonts w:ascii="Arial" w:hAnsi="Arial"/>
          <w:bCs/>
          <w:sz w:val="20"/>
        </w:rPr>
        <w:t>4.</w:t>
      </w:r>
      <w:r w:rsidR="00CB0BB7">
        <w:rPr>
          <w:rFonts w:ascii="Arial" w:hAnsi="Arial"/>
          <w:bCs/>
          <w:sz w:val="20"/>
        </w:rPr>
        <w:t>3</w:t>
      </w:r>
      <w:r w:rsidRPr="005666F0">
        <w:rPr>
          <w:rFonts w:ascii="Arial" w:hAnsi="Arial"/>
          <w:bCs/>
          <w:sz w:val="20"/>
        </w:rPr>
        <w:t xml:space="preserve"> % del pasivo no circulante, mismo que </w:t>
      </w:r>
      <w:r w:rsidRPr="005666F0">
        <w:rPr>
          <w:rFonts w:ascii="Arial" w:hAnsi="Arial"/>
          <w:sz w:val="20"/>
        </w:rPr>
        <w:t>se integra en gran parte por  préstamos por pagar, recuperación de préstamos por aplicar, descuentos indebidos derivado de préstamos, intereses cobrados del fondo de préstamos, 1 % de cuotas y aportaciones del fondo de préstamos, así como, rendimientos de cuentas bancarias del fondo en mención.</w:t>
      </w:r>
    </w:p>
    <w:p w14:paraId="7A300192" w14:textId="77777777" w:rsidR="005666F0" w:rsidRPr="005666F0" w:rsidRDefault="005666F0" w:rsidP="005666F0">
      <w:pPr>
        <w:jc w:val="both"/>
        <w:outlineLvl w:val="0"/>
        <w:rPr>
          <w:rFonts w:ascii="Arial" w:hAnsi="Arial"/>
          <w:sz w:val="20"/>
        </w:rPr>
      </w:pPr>
    </w:p>
    <w:p w14:paraId="1EB92EE2" w14:textId="13414E3D" w:rsidR="005666F0" w:rsidRPr="005666F0" w:rsidRDefault="00922E82" w:rsidP="005666F0">
      <w:pPr>
        <w:jc w:val="center"/>
        <w:outlineLvl w:val="0"/>
        <w:rPr>
          <w:rFonts w:ascii="Arial" w:hAnsi="Arial"/>
          <w:sz w:val="20"/>
        </w:rPr>
      </w:pPr>
      <w:r w:rsidRPr="00922E82">
        <w:rPr>
          <w:noProof/>
        </w:rPr>
        <w:drawing>
          <wp:inline distT="0" distB="0" distL="0" distR="0" wp14:anchorId="6E43954F" wp14:editId="09D6DF4D">
            <wp:extent cx="4371975" cy="1276350"/>
            <wp:effectExtent l="0" t="0" r="9525"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71975" cy="1276350"/>
                    </a:xfrm>
                    <a:prstGeom prst="rect">
                      <a:avLst/>
                    </a:prstGeom>
                    <a:noFill/>
                    <a:ln>
                      <a:noFill/>
                    </a:ln>
                  </pic:spPr>
                </pic:pic>
              </a:graphicData>
            </a:graphic>
          </wp:inline>
        </w:drawing>
      </w:r>
    </w:p>
    <w:p w14:paraId="41485CDB" w14:textId="77777777" w:rsidR="005666F0" w:rsidRPr="005666F0" w:rsidRDefault="005666F0" w:rsidP="005666F0">
      <w:pPr>
        <w:jc w:val="both"/>
        <w:outlineLvl w:val="0"/>
        <w:rPr>
          <w:rFonts w:ascii="Arial" w:hAnsi="Arial"/>
          <w:sz w:val="20"/>
        </w:rPr>
      </w:pPr>
    </w:p>
    <w:p w14:paraId="101F25B6" w14:textId="77777777" w:rsidR="005666F0" w:rsidRPr="005666F0" w:rsidRDefault="005666F0" w:rsidP="005666F0">
      <w:pPr>
        <w:jc w:val="both"/>
        <w:outlineLvl w:val="0"/>
        <w:rPr>
          <w:rFonts w:ascii="Arial" w:hAnsi="Arial"/>
          <w:sz w:val="20"/>
        </w:rPr>
      </w:pPr>
    </w:p>
    <w:p w14:paraId="15F67D07" w14:textId="77777777" w:rsidR="005666F0" w:rsidRPr="005666F0" w:rsidRDefault="005666F0" w:rsidP="005666F0">
      <w:pPr>
        <w:pStyle w:val="Subttulo"/>
        <w:rPr>
          <w:caps/>
        </w:rPr>
      </w:pPr>
      <w:r w:rsidRPr="005666F0">
        <w:t xml:space="preserve">Notas al estado de variación en la hacienda pública </w:t>
      </w:r>
    </w:p>
    <w:p w14:paraId="2C273B14" w14:textId="77777777" w:rsidR="005666F0" w:rsidRPr="005666F0" w:rsidRDefault="005666F0" w:rsidP="005666F0">
      <w:pPr>
        <w:jc w:val="both"/>
        <w:outlineLvl w:val="0"/>
        <w:rPr>
          <w:rFonts w:ascii="Arial" w:hAnsi="Arial"/>
          <w:sz w:val="20"/>
        </w:rPr>
      </w:pPr>
    </w:p>
    <w:p w14:paraId="78123751" w14:textId="5A9E9D2A" w:rsidR="005666F0" w:rsidRPr="005666F0" w:rsidRDefault="005666F0" w:rsidP="005666F0">
      <w:pPr>
        <w:jc w:val="both"/>
        <w:outlineLvl w:val="0"/>
        <w:rPr>
          <w:rFonts w:ascii="Arial" w:hAnsi="Arial"/>
          <w:sz w:val="20"/>
        </w:rPr>
      </w:pPr>
      <w:r w:rsidRPr="005666F0">
        <w:rPr>
          <w:rFonts w:ascii="Arial" w:hAnsi="Arial"/>
          <w:sz w:val="20"/>
        </w:rPr>
        <w:t xml:space="preserve">La hacienda pública representa el importe de los bienes y derechos que son propiedad del Instituto de Seguridad Social de Los Trabajadores del Estado de Chiapas, dicho importe es modificado principalmente por el resultado positivo obtenido al </w:t>
      </w:r>
      <w:r w:rsidR="008E371A">
        <w:rPr>
          <w:rFonts w:ascii="Arial" w:hAnsi="Arial"/>
          <w:sz w:val="20"/>
        </w:rPr>
        <w:t xml:space="preserve">30 de </w:t>
      </w:r>
      <w:r w:rsidR="00CB0BB7">
        <w:rPr>
          <w:rFonts w:ascii="Arial" w:hAnsi="Arial"/>
          <w:sz w:val="20"/>
        </w:rPr>
        <w:t>septiembre</w:t>
      </w:r>
      <w:r w:rsidRPr="005666F0">
        <w:rPr>
          <w:rFonts w:ascii="Arial" w:hAnsi="Arial"/>
          <w:sz w:val="20"/>
        </w:rPr>
        <w:t xml:space="preserve"> del 2023, el cual asciende a un saldo positivo de </w:t>
      </w:r>
      <w:r w:rsidR="00C038E4">
        <w:rPr>
          <w:rFonts w:ascii="Arial" w:hAnsi="Arial"/>
          <w:sz w:val="20"/>
        </w:rPr>
        <w:t>463.8</w:t>
      </w:r>
      <w:r w:rsidRPr="005666F0">
        <w:rPr>
          <w:rFonts w:ascii="Arial" w:hAnsi="Arial"/>
          <w:sz w:val="20"/>
        </w:rPr>
        <w:t xml:space="preserve"> millones de pesos.</w:t>
      </w:r>
    </w:p>
    <w:p w14:paraId="6DE12272" w14:textId="77777777" w:rsidR="005666F0" w:rsidRPr="005666F0" w:rsidRDefault="005666F0" w:rsidP="005666F0">
      <w:pPr>
        <w:jc w:val="both"/>
        <w:outlineLvl w:val="0"/>
        <w:rPr>
          <w:rFonts w:ascii="Arial" w:hAnsi="Arial"/>
          <w:sz w:val="20"/>
        </w:rPr>
      </w:pPr>
    </w:p>
    <w:p w14:paraId="70F371B6" w14:textId="0D549849" w:rsidR="005666F0" w:rsidRPr="005666F0" w:rsidRDefault="005666F0" w:rsidP="005666F0">
      <w:pPr>
        <w:jc w:val="both"/>
        <w:outlineLvl w:val="0"/>
        <w:rPr>
          <w:rFonts w:ascii="Arial" w:hAnsi="Arial"/>
          <w:sz w:val="20"/>
        </w:rPr>
      </w:pPr>
      <w:r w:rsidRPr="005666F0">
        <w:rPr>
          <w:rFonts w:ascii="Arial" w:hAnsi="Arial"/>
          <w:sz w:val="20"/>
        </w:rPr>
        <w:t xml:space="preserve">El estado de variación en la hacienda pública así también presenta las modificaciones o cambios realizados en la hacienda pública, dichas variaciones representan la afectación por el resultado derivado del registro de operaciones de ejercicios anteriores por reintegros, depuración contable, regularización de saldos; de igual manera por el aumento o disminución de las reservas de pensiones y de préstamos a corto y a largo plazo a la fecha que se informa, la hacienda pública refleja un saldo de 1 mil </w:t>
      </w:r>
      <w:r w:rsidR="00C038E4">
        <w:rPr>
          <w:rFonts w:ascii="Arial" w:hAnsi="Arial"/>
          <w:sz w:val="20"/>
        </w:rPr>
        <w:t>152.8</w:t>
      </w:r>
      <w:r w:rsidRPr="005666F0">
        <w:rPr>
          <w:rFonts w:ascii="Arial" w:hAnsi="Arial"/>
          <w:sz w:val="20"/>
        </w:rPr>
        <w:t xml:space="preserve"> </w:t>
      </w:r>
      <w:r w:rsidRPr="002B00C4">
        <w:rPr>
          <w:rFonts w:ascii="Arial" w:hAnsi="Arial"/>
          <w:sz w:val="20"/>
        </w:rPr>
        <w:t>millones de pesos.</w:t>
      </w:r>
    </w:p>
    <w:p w14:paraId="465E4E86" w14:textId="77777777" w:rsidR="005666F0" w:rsidRPr="005666F0" w:rsidRDefault="005666F0" w:rsidP="005666F0">
      <w:pPr>
        <w:jc w:val="both"/>
        <w:outlineLvl w:val="0"/>
        <w:rPr>
          <w:rFonts w:ascii="Arial" w:hAnsi="Arial"/>
          <w:sz w:val="20"/>
        </w:rPr>
      </w:pPr>
    </w:p>
    <w:p w14:paraId="2AF74AD0" w14:textId="78FC673E" w:rsidR="005666F0" w:rsidRPr="005666F0" w:rsidRDefault="005666F0" w:rsidP="005666F0">
      <w:pPr>
        <w:jc w:val="both"/>
        <w:outlineLvl w:val="0"/>
        <w:rPr>
          <w:rFonts w:ascii="Arial" w:hAnsi="Arial"/>
          <w:sz w:val="20"/>
        </w:rPr>
      </w:pPr>
      <w:r w:rsidRPr="005666F0">
        <w:rPr>
          <w:rFonts w:ascii="Arial" w:hAnsi="Arial"/>
          <w:sz w:val="20"/>
        </w:rPr>
        <w:t>Así también, es modificado por el aumento o disminución al patrimonio, derivado del registro de movimientos realizados durante el periodo que se informa. A la fecha que se informa la modificación neta</w:t>
      </w:r>
      <w:r w:rsidR="002B00C4">
        <w:rPr>
          <w:rFonts w:ascii="Arial" w:hAnsi="Arial"/>
          <w:sz w:val="20"/>
        </w:rPr>
        <w:t xml:space="preserve"> positiva al patrimonio es de </w:t>
      </w:r>
      <w:r w:rsidR="00C038E4">
        <w:rPr>
          <w:rFonts w:ascii="Arial" w:hAnsi="Arial"/>
          <w:sz w:val="20"/>
        </w:rPr>
        <w:t>495.6</w:t>
      </w:r>
      <w:r w:rsidRPr="005666F0">
        <w:rPr>
          <w:rFonts w:ascii="Arial" w:hAnsi="Arial"/>
          <w:sz w:val="20"/>
        </w:rPr>
        <w:t xml:space="preserve"> millones de pesos.</w:t>
      </w:r>
    </w:p>
    <w:p w14:paraId="6BFDE91F" w14:textId="77777777" w:rsidR="005666F0" w:rsidRPr="005666F0" w:rsidRDefault="005666F0" w:rsidP="005666F0">
      <w:pPr>
        <w:jc w:val="both"/>
        <w:outlineLvl w:val="0"/>
        <w:rPr>
          <w:rFonts w:ascii="Arial" w:hAnsi="Arial"/>
          <w:sz w:val="20"/>
        </w:rPr>
      </w:pPr>
    </w:p>
    <w:p w14:paraId="2532CB4F" w14:textId="77777777" w:rsidR="005666F0" w:rsidRPr="005666F0" w:rsidRDefault="005666F0" w:rsidP="005666F0">
      <w:pPr>
        <w:pStyle w:val="Subttulo"/>
      </w:pPr>
      <w:r w:rsidRPr="005666F0">
        <w:t>Notas al estado de flujos de efectivo</w:t>
      </w:r>
    </w:p>
    <w:p w14:paraId="28AE4D26" w14:textId="77777777" w:rsidR="005666F0" w:rsidRPr="005666F0" w:rsidRDefault="005666F0" w:rsidP="005666F0">
      <w:pPr>
        <w:jc w:val="both"/>
        <w:outlineLvl w:val="0"/>
        <w:rPr>
          <w:rFonts w:ascii="Arial" w:hAnsi="Arial"/>
          <w:sz w:val="20"/>
          <w:highlight w:val="cyan"/>
        </w:rPr>
      </w:pPr>
    </w:p>
    <w:p w14:paraId="41D26E2A" w14:textId="77777777" w:rsidR="005666F0" w:rsidRPr="005666F0" w:rsidRDefault="005666F0" w:rsidP="005666F0">
      <w:pPr>
        <w:tabs>
          <w:tab w:val="left" w:pos="6840"/>
        </w:tabs>
        <w:jc w:val="both"/>
        <w:outlineLvl w:val="0"/>
        <w:rPr>
          <w:rFonts w:ascii="Arial" w:hAnsi="Arial"/>
          <w:sz w:val="20"/>
        </w:rPr>
      </w:pPr>
      <w:r w:rsidRPr="005666F0">
        <w:rPr>
          <w:rFonts w:ascii="Arial" w:hAnsi="Arial"/>
          <w:sz w:val="20"/>
        </w:rPr>
        <w:t>El estado de flujos de efectivo de las Instituciones Públicas de Seguridad Social, muestra los flujos de efectivo, conformado por los elementos básicos: origen y aplicación de los recursos.</w:t>
      </w:r>
    </w:p>
    <w:p w14:paraId="40D92669" w14:textId="77777777" w:rsidR="005666F0" w:rsidRPr="005666F0" w:rsidRDefault="005666F0" w:rsidP="005666F0">
      <w:pPr>
        <w:tabs>
          <w:tab w:val="left" w:pos="6840"/>
        </w:tabs>
        <w:jc w:val="both"/>
        <w:outlineLvl w:val="0"/>
        <w:rPr>
          <w:rFonts w:ascii="Arial" w:hAnsi="Arial"/>
          <w:sz w:val="20"/>
        </w:rPr>
      </w:pPr>
    </w:p>
    <w:p w14:paraId="65A36C39" w14:textId="69766D36" w:rsidR="005666F0" w:rsidRPr="005666F0" w:rsidRDefault="005666F0" w:rsidP="005666F0">
      <w:pPr>
        <w:tabs>
          <w:tab w:val="left" w:pos="6840"/>
        </w:tabs>
        <w:jc w:val="both"/>
        <w:outlineLvl w:val="0"/>
        <w:rPr>
          <w:rFonts w:ascii="Arial" w:hAnsi="Arial"/>
          <w:sz w:val="20"/>
        </w:rPr>
      </w:pPr>
      <w:r w:rsidRPr="005666F0">
        <w:rPr>
          <w:rFonts w:ascii="Arial" w:hAnsi="Arial"/>
          <w:sz w:val="20"/>
        </w:rPr>
        <w:t xml:space="preserve">El incremento neto en el efectivo y equivalentes al efectivo al </w:t>
      </w:r>
      <w:r w:rsidR="008E371A">
        <w:rPr>
          <w:rFonts w:ascii="Arial" w:hAnsi="Arial"/>
          <w:sz w:val="20"/>
        </w:rPr>
        <w:t xml:space="preserve">30 de </w:t>
      </w:r>
      <w:r w:rsidR="00C038E4">
        <w:rPr>
          <w:rFonts w:ascii="Arial" w:hAnsi="Arial"/>
          <w:sz w:val="20"/>
        </w:rPr>
        <w:t xml:space="preserve">septiembre </w:t>
      </w:r>
      <w:r w:rsidRPr="005666F0">
        <w:rPr>
          <w:rFonts w:ascii="Arial" w:hAnsi="Arial"/>
          <w:sz w:val="20"/>
        </w:rPr>
        <w:t>de 2023 asci</w:t>
      </w:r>
      <w:r w:rsidR="002B00C4">
        <w:rPr>
          <w:rFonts w:ascii="Arial" w:hAnsi="Arial"/>
          <w:sz w:val="20"/>
        </w:rPr>
        <w:t xml:space="preserve">ende a </w:t>
      </w:r>
      <w:r w:rsidR="00C038E4">
        <w:rPr>
          <w:rFonts w:ascii="Arial" w:hAnsi="Arial"/>
          <w:sz w:val="20"/>
        </w:rPr>
        <w:t>5.7</w:t>
      </w:r>
      <w:r w:rsidRPr="005666F0">
        <w:rPr>
          <w:rFonts w:ascii="Arial" w:hAnsi="Arial"/>
          <w:sz w:val="20"/>
        </w:rPr>
        <w:t xml:space="preserve"> millones de pesos.</w:t>
      </w:r>
    </w:p>
    <w:p w14:paraId="497BBDFE" w14:textId="77777777" w:rsidR="005666F0" w:rsidRPr="005666F0" w:rsidRDefault="005666F0" w:rsidP="005666F0">
      <w:pPr>
        <w:tabs>
          <w:tab w:val="left" w:pos="6840"/>
        </w:tabs>
        <w:jc w:val="both"/>
        <w:outlineLvl w:val="0"/>
        <w:rPr>
          <w:rFonts w:ascii="Arial" w:hAnsi="Arial"/>
          <w:sz w:val="20"/>
        </w:rPr>
      </w:pPr>
    </w:p>
    <w:p w14:paraId="2B3499B5" w14:textId="77777777" w:rsidR="005666F0" w:rsidRPr="005666F0" w:rsidRDefault="005666F0" w:rsidP="005666F0">
      <w:pPr>
        <w:pStyle w:val="Subttulo"/>
      </w:pPr>
      <w:r w:rsidRPr="005666F0">
        <w:t>Flujo de efectivo de las actividades de operación</w:t>
      </w:r>
    </w:p>
    <w:p w14:paraId="1BF985D4" w14:textId="77777777" w:rsidR="005666F0" w:rsidRPr="005666F0" w:rsidRDefault="005666F0" w:rsidP="005666F0">
      <w:pPr>
        <w:pStyle w:val="Subttulo"/>
        <w:rPr>
          <w:color w:val="B09A5B"/>
        </w:rPr>
      </w:pPr>
    </w:p>
    <w:p w14:paraId="4E8FDE05" w14:textId="7D815A34" w:rsidR="005666F0" w:rsidRPr="005666F0" w:rsidRDefault="005666F0" w:rsidP="005666F0">
      <w:pPr>
        <w:jc w:val="both"/>
        <w:outlineLvl w:val="0"/>
        <w:rPr>
          <w:rFonts w:ascii="Arial" w:hAnsi="Arial"/>
          <w:bCs/>
          <w:sz w:val="20"/>
        </w:rPr>
      </w:pPr>
      <w:r w:rsidRPr="005666F0">
        <w:rPr>
          <w:rFonts w:ascii="Arial" w:hAnsi="Arial"/>
          <w:bCs/>
          <w:sz w:val="20"/>
        </w:rPr>
        <w:t xml:space="preserve">Durante el periodo que se informa, las Instituciones Públicas de Seguridad Social recibieron ingresos de gestión por la cantidad de </w:t>
      </w:r>
      <w:r w:rsidR="001E0633">
        <w:rPr>
          <w:rFonts w:ascii="Arial" w:hAnsi="Arial"/>
          <w:bCs/>
          <w:sz w:val="20"/>
        </w:rPr>
        <w:t>4</w:t>
      </w:r>
      <w:r w:rsidRPr="005666F0">
        <w:rPr>
          <w:rFonts w:ascii="Arial" w:hAnsi="Arial"/>
          <w:bCs/>
          <w:sz w:val="20"/>
        </w:rPr>
        <w:t xml:space="preserve"> mil </w:t>
      </w:r>
      <w:r w:rsidR="001E0633">
        <w:rPr>
          <w:rFonts w:ascii="Arial" w:hAnsi="Arial"/>
          <w:bCs/>
          <w:sz w:val="20"/>
        </w:rPr>
        <w:t>198.0</w:t>
      </w:r>
      <w:r w:rsidRPr="005666F0">
        <w:rPr>
          <w:rFonts w:ascii="Arial" w:hAnsi="Arial"/>
          <w:bCs/>
          <w:sz w:val="20"/>
        </w:rPr>
        <w:t xml:space="preserve"> millones de pesos. El gasto de funcionamiento devengado por el periodo comprendido del 1 de enero al </w:t>
      </w:r>
      <w:r w:rsidR="008E371A">
        <w:rPr>
          <w:rFonts w:ascii="Arial" w:hAnsi="Arial"/>
          <w:bCs/>
          <w:sz w:val="20"/>
        </w:rPr>
        <w:t xml:space="preserve">30 de </w:t>
      </w:r>
      <w:r w:rsidR="001E0633">
        <w:rPr>
          <w:rFonts w:ascii="Arial" w:hAnsi="Arial"/>
          <w:bCs/>
          <w:sz w:val="20"/>
        </w:rPr>
        <w:t xml:space="preserve">septiembre </w:t>
      </w:r>
      <w:r w:rsidRPr="005666F0">
        <w:rPr>
          <w:rFonts w:ascii="Arial" w:hAnsi="Arial"/>
          <w:bCs/>
          <w:sz w:val="20"/>
        </w:rPr>
        <w:t xml:space="preserve">de 2023, asciende a </w:t>
      </w:r>
      <w:r w:rsidR="001E0633">
        <w:rPr>
          <w:rFonts w:ascii="Arial" w:hAnsi="Arial"/>
          <w:bCs/>
          <w:sz w:val="20"/>
        </w:rPr>
        <w:t>3</w:t>
      </w:r>
      <w:r w:rsidRPr="005666F0">
        <w:rPr>
          <w:rFonts w:ascii="Arial" w:hAnsi="Arial"/>
          <w:bCs/>
          <w:sz w:val="20"/>
        </w:rPr>
        <w:t xml:space="preserve"> mil </w:t>
      </w:r>
      <w:r w:rsidR="001E0633">
        <w:rPr>
          <w:rFonts w:ascii="Arial" w:hAnsi="Arial"/>
          <w:bCs/>
          <w:sz w:val="20"/>
        </w:rPr>
        <w:t>734.2</w:t>
      </w:r>
      <w:r w:rsidRPr="005666F0">
        <w:rPr>
          <w:rFonts w:ascii="Arial" w:hAnsi="Arial"/>
          <w:bCs/>
          <w:sz w:val="20"/>
        </w:rPr>
        <w:t xml:space="preserve"> millones de pesos, el cual refleja un flujo neto positivo por actividades de </w:t>
      </w:r>
      <w:r w:rsidR="002B00C4">
        <w:rPr>
          <w:rFonts w:ascii="Arial" w:hAnsi="Arial"/>
          <w:bCs/>
          <w:sz w:val="20"/>
        </w:rPr>
        <w:t>operación por un importe de 4</w:t>
      </w:r>
      <w:r w:rsidR="001E0633">
        <w:rPr>
          <w:rFonts w:ascii="Arial" w:hAnsi="Arial"/>
          <w:bCs/>
          <w:sz w:val="20"/>
        </w:rPr>
        <w:t>63.8</w:t>
      </w:r>
      <w:r w:rsidRPr="005666F0">
        <w:rPr>
          <w:rFonts w:ascii="Arial" w:hAnsi="Arial"/>
          <w:bCs/>
          <w:sz w:val="20"/>
        </w:rPr>
        <w:t xml:space="preserve"> millones de pesos.</w:t>
      </w:r>
    </w:p>
    <w:p w14:paraId="00455504" w14:textId="77777777" w:rsidR="005666F0" w:rsidRPr="005666F0" w:rsidRDefault="005666F0" w:rsidP="005666F0">
      <w:pPr>
        <w:jc w:val="both"/>
        <w:outlineLvl w:val="0"/>
        <w:rPr>
          <w:rFonts w:ascii="Arial" w:hAnsi="Arial"/>
          <w:bCs/>
          <w:sz w:val="20"/>
        </w:rPr>
      </w:pPr>
    </w:p>
    <w:p w14:paraId="7EDB1CD7" w14:textId="77777777" w:rsidR="005666F0" w:rsidRPr="005666F0" w:rsidRDefault="005666F0" w:rsidP="005666F0">
      <w:pPr>
        <w:pStyle w:val="Subttulo"/>
      </w:pPr>
      <w:r w:rsidRPr="005666F0">
        <w:t>Flujo de efectivo de las actividades de inversión</w:t>
      </w:r>
    </w:p>
    <w:p w14:paraId="36EE729F" w14:textId="77777777" w:rsidR="005666F0" w:rsidRPr="005666F0" w:rsidRDefault="005666F0" w:rsidP="005666F0">
      <w:pPr>
        <w:jc w:val="both"/>
        <w:outlineLvl w:val="0"/>
        <w:rPr>
          <w:rFonts w:ascii="Arial" w:hAnsi="Arial"/>
          <w:b/>
          <w:bCs/>
          <w:sz w:val="20"/>
        </w:rPr>
      </w:pPr>
    </w:p>
    <w:p w14:paraId="74B0120E" w14:textId="0392761A" w:rsidR="005666F0" w:rsidRPr="005666F0" w:rsidRDefault="005666F0" w:rsidP="005666F0">
      <w:pPr>
        <w:jc w:val="both"/>
        <w:outlineLvl w:val="0"/>
        <w:rPr>
          <w:rFonts w:ascii="Arial" w:hAnsi="Arial"/>
          <w:bCs/>
          <w:sz w:val="20"/>
        </w:rPr>
      </w:pPr>
      <w:r w:rsidRPr="005666F0">
        <w:rPr>
          <w:rFonts w:ascii="Arial" w:hAnsi="Arial"/>
          <w:bCs/>
          <w:sz w:val="20"/>
        </w:rPr>
        <w:t>Durante el periodo que se informa, las Instituciones de Seguridad Social recibieron ingresos de inversión por la cantidad de 3</w:t>
      </w:r>
      <w:r w:rsidR="001E0633">
        <w:rPr>
          <w:rFonts w:ascii="Arial" w:hAnsi="Arial"/>
          <w:bCs/>
          <w:sz w:val="20"/>
        </w:rPr>
        <w:t>68.1</w:t>
      </w:r>
      <w:r w:rsidRPr="005666F0">
        <w:rPr>
          <w:rFonts w:ascii="Arial" w:hAnsi="Arial"/>
          <w:bCs/>
          <w:sz w:val="20"/>
        </w:rPr>
        <w:t xml:space="preserve"> millones de pesos. El gasto de funcionamiento devengado por el periodo comprendido del 1 de enero al </w:t>
      </w:r>
      <w:r w:rsidR="008E371A">
        <w:rPr>
          <w:rFonts w:ascii="Arial" w:hAnsi="Arial"/>
          <w:bCs/>
          <w:sz w:val="20"/>
        </w:rPr>
        <w:t xml:space="preserve">30 de </w:t>
      </w:r>
      <w:r w:rsidR="001E0633">
        <w:rPr>
          <w:rFonts w:ascii="Arial" w:hAnsi="Arial"/>
          <w:bCs/>
          <w:sz w:val="20"/>
        </w:rPr>
        <w:t xml:space="preserve">septiembre </w:t>
      </w:r>
      <w:r w:rsidR="002B00C4">
        <w:rPr>
          <w:rFonts w:ascii="Arial" w:hAnsi="Arial"/>
          <w:bCs/>
          <w:sz w:val="20"/>
        </w:rPr>
        <w:t xml:space="preserve">de 2023, asciende a </w:t>
      </w:r>
      <w:r w:rsidR="001E0633">
        <w:rPr>
          <w:rFonts w:ascii="Arial" w:hAnsi="Arial"/>
          <w:bCs/>
          <w:sz w:val="20"/>
        </w:rPr>
        <w:t>836.8</w:t>
      </w:r>
      <w:r w:rsidRPr="005666F0">
        <w:rPr>
          <w:rFonts w:ascii="Arial" w:hAnsi="Arial"/>
          <w:bCs/>
          <w:sz w:val="20"/>
        </w:rPr>
        <w:t xml:space="preserve"> millones de pesos, el cual refleja un flujo neto a la baja por actividades de inversión por un importe de </w:t>
      </w:r>
      <w:r w:rsidR="001E0633">
        <w:rPr>
          <w:rFonts w:ascii="Arial" w:hAnsi="Arial"/>
          <w:bCs/>
          <w:sz w:val="20"/>
        </w:rPr>
        <w:t>468.7</w:t>
      </w:r>
      <w:r w:rsidRPr="005666F0">
        <w:rPr>
          <w:rFonts w:ascii="Arial" w:hAnsi="Arial"/>
          <w:bCs/>
          <w:sz w:val="20"/>
        </w:rPr>
        <w:t xml:space="preserve"> millones de pesos.</w:t>
      </w:r>
    </w:p>
    <w:p w14:paraId="21B18A30" w14:textId="4B6335A7" w:rsidR="005666F0" w:rsidRDefault="005666F0" w:rsidP="005666F0">
      <w:pPr>
        <w:jc w:val="both"/>
        <w:outlineLvl w:val="0"/>
        <w:rPr>
          <w:rFonts w:ascii="Arial" w:hAnsi="Arial"/>
          <w:bCs/>
          <w:sz w:val="20"/>
        </w:rPr>
      </w:pPr>
    </w:p>
    <w:p w14:paraId="380E2A0D" w14:textId="26C32A42" w:rsidR="00922E82" w:rsidRDefault="00922E82" w:rsidP="005666F0">
      <w:pPr>
        <w:jc w:val="both"/>
        <w:outlineLvl w:val="0"/>
        <w:rPr>
          <w:rFonts w:ascii="Arial" w:hAnsi="Arial"/>
          <w:bCs/>
          <w:sz w:val="20"/>
        </w:rPr>
      </w:pPr>
    </w:p>
    <w:p w14:paraId="2838E00C" w14:textId="28F7FD6F" w:rsidR="00922E82" w:rsidRDefault="00922E82" w:rsidP="005666F0">
      <w:pPr>
        <w:jc w:val="both"/>
        <w:outlineLvl w:val="0"/>
        <w:rPr>
          <w:rFonts w:ascii="Arial" w:hAnsi="Arial"/>
          <w:bCs/>
          <w:sz w:val="20"/>
        </w:rPr>
      </w:pPr>
    </w:p>
    <w:p w14:paraId="4CC25354" w14:textId="77777777" w:rsidR="00922E82" w:rsidRPr="005666F0" w:rsidRDefault="00922E82" w:rsidP="005666F0">
      <w:pPr>
        <w:jc w:val="both"/>
        <w:outlineLvl w:val="0"/>
        <w:rPr>
          <w:rFonts w:ascii="Arial" w:hAnsi="Arial"/>
          <w:bCs/>
          <w:sz w:val="20"/>
        </w:rPr>
      </w:pPr>
    </w:p>
    <w:p w14:paraId="330F2AE1" w14:textId="77777777" w:rsidR="005666F0" w:rsidRPr="005666F0" w:rsidRDefault="005666F0" w:rsidP="005666F0">
      <w:pPr>
        <w:pStyle w:val="Subttulo"/>
      </w:pPr>
      <w:r w:rsidRPr="005666F0">
        <w:lastRenderedPageBreak/>
        <w:t>Flujo de efectivo de las actividades de financiamiento</w:t>
      </w:r>
    </w:p>
    <w:p w14:paraId="67ECD29A" w14:textId="77777777" w:rsidR="005666F0" w:rsidRPr="005666F0" w:rsidRDefault="005666F0" w:rsidP="005666F0">
      <w:pPr>
        <w:jc w:val="both"/>
        <w:outlineLvl w:val="0"/>
        <w:rPr>
          <w:rFonts w:ascii="Arial" w:hAnsi="Arial"/>
          <w:b/>
          <w:bCs/>
          <w:sz w:val="20"/>
        </w:rPr>
      </w:pPr>
    </w:p>
    <w:p w14:paraId="0358481F" w14:textId="5968CCC2" w:rsidR="005666F0" w:rsidRPr="005666F0" w:rsidRDefault="005666F0" w:rsidP="005666F0">
      <w:pPr>
        <w:jc w:val="both"/>
        <w:outlineLvl w:val="0"/>
        <w:rPr>
          <w:rFonts w:ascii="Arial" w:hAnsi="Arial"/>
          <w:bCs/>
          <w:sz w:val="20"/>
        </w:rPr>
      </w:pPr>
      <w:r w:rsidRPr="005666F0">
        <w:rPr>
          <w:rFonts w:ascii="Arial" w:hAnsi="Arial"/>
          <w:bCs/>
          <w:sz w:val="20"/>
        </w:rPr>
        <w:t>Durante el periodo que se informa, las Instituciones Públicas de Seguridad Social recibió ingresos de fin</w:t>
      </w:r>
      <w:r w:rsidR="002B00C4">
        <w:rPr>
          <w:rFonts w:ascii="Arial" w:hAnsi="Arial"/>
          <w:bCs/>
          <w:sz w:val="20"/>
        </w:rPr>
        <w:t xml:space="preserve">anciamiento por la cantidad de </w:t>
      </w:r>
      <w:r w:rsidR="001E0633">
        <w:rPr>
          <w:rFonts w:ascii="Arial" w:hAnsi="Arial"/>
          <w:bCs/>
          <w:sz w:val="20"/>
        </w:rPr>
        <w:t>119.7</w:t>
      </w:r>
      <w:r w:rsidRPr="005666F0">
        <w:rPr>
          <w:rFonts w:ascii="Arial" w:hAnsi="Arial"/>
          <w:bCs/>
          <w:sz w:val="20"/>
        </w:rPr>
        <w:t xml:space="preserve"> millones de pesos. El gasto de funcionamiento devengado por el periodo comprendido del 1 de enero al </w:t>
      </w:r>
      <w:r w:rsidR="008E371A">
        <w:rPr>
          <w:rFonts w:ascii="Arial" w:hAnsi="Arial"/>
          <w:bCs/>
          <w:sz w:val="20"/>
        </w:rPr>
        <w:t xml:space="preserve">30 de </w:t>
      </w:r>
      <w:r w:rsidR="001E0633">
        <w:rPr>
          <w:rFonts w:ascii="Arial" w:hAnsi="Arial"/>
          <w:bCs/>
          <w:sz w:val="20"/>
        </w:rPr>
        <w:t xml:space="preserve">septiembre </w:t>
      </w:r>
      <w:r w:rsidRPr="005666F0">
        <w:rPr>
          <w:rFonts w:ascii="Arial" w:hAnsi="Arial"/>
          <w:bCs/>
          <w:sz w:val="20"/>
        </w:rPr>
        <w:t xml:space="preserve">de 2023, asciende a </w:t>
      </w:r>
      <w:r w:rsidR="001E0633">
        <w:rPr>
          <w:rFonts w:ascii="Arial" w:hAnsi="Arial"/>
          <w:bCs/>
          <w:sz w:val="20"/>
        </w:rPr>
        <w:t>109.</w:t>
      </w:r>
      <w:r w:rsidR="001A4804">
        <w:rPr>
          <w:rFonts w:ascii="Arial" w:hAnsi="Arial"/>
          <w:bCs/>
          <w:sz w:val="20"/>
        </w:rPr>
        <w:t>1</w:t>
      </w:r>
      <w:r w:rsidRPr="005666F0">
        <w:rPr>
          <w:rFonts w:ascii="Arial" w:hAnsi="Arial"/>
          <w:bCs/>
          <w:sz w:val="20"/>
        </w:rPr>
        <w:t xml:space="preserve"> millones de pesos, el cual refleja un flujo neto </w:t>
      </w:r>
      <w:r w:rsidR="001E0633">
        <w:rPr>
          <w:rFonts w:ascii="Arial" w:hAnsi="Arial"/>
          <w:bCs/>
          <w:sz w:val="20"/>
        </w:rPr>
        <w:t>positi</w:t>
      </w:r>
      <w:r w:rsidRPr="005666F0">
        <w:rPr>
          <w:rFonts w:ascii="Arial" w:hAnsi="Arial"/>
          <w:bCs/>
          <w:sz w:val="20"/>
        </w:rPr>
        <w:t>vo por actividades de fina</w:t>
      </w:r>
      <w:r w:rsidR="002B00C4">
        <w:rPr>
          <w:rFonts w:ascii="Arial" w:hAnsi="Arial"/>
          <w:bCs/>
          <w:sz w:val="20"/>
        </w:rPr>
        <w:t xml:space="preserve">nciamiento por un importe de </w:t>
      </w:r>
      <w:r w:rsidRPr="005666F0">
        <w:rPr>
          <w:rFonts w:ascii="Arial" w:hAnsi="Arial"/>
          <w:bCs/>
          <w:sz w:val="20"/>
        </w:rPr>
        <w:t xml:space="preserve"> </w:t>
      </w:r>
      <w:r w:rsidR="001E0633">
        <w:rPr>
          <w:rFonts w:ascii="Arial" w:hAnsi="Arial"/>
          <w:bCs/>
          <w:sz w:val="20"/>
        </w:rPr>
        <w:t>10.</w:t>
      </w:r>
      <w:r w:rsidR="001A4804">
        <w:rPr>
          <w:rFonts w:ascii="Arial" w:hAnsi="Arial"/>
          <w:bCs/>
          <w:sz w:val="20"/>
        </w:rPr>
        <w:t>6</w:t>
      </w:r>
      <w:r w:rsidR="00164B5D">
        <w:rPr>
          <w:rFonts w:ascii="Arial" w:hAnsi="Arial"/>
          <w:bCs/>
          <w:sz w:val="20"/>
        </w:rPr>
        <w:t xml:space="preserve"> </w:t>
      </w:r>
      <w:r w:rsidRPr="005666F0">
        <w:rPr>
          <w:rFonts w:ascii="Arial" w:hAnsi="Arial"/>
          <w:bCs/>
          <w:sz w:val="20"/>
        </w:rPr>
        <w:t>millones de pesos.</w:t>
      </w:r>
    </w:p>
    <w:p w14:paraId="6CD38F7F" w14:textId="77777777" w:rsidR="005666F0" w:rsidRPr="005666F0" w:rsidRDefault="005666F0" w:rsidP="005666F0">
      <w:pPr>
        <w:jc w:val="both"/>
        <w:outlineLvl w:val="0"/>
        <w:rPr>
          <w:rFonts w:ascii="Arial" w:hAnsi="Arial"/>
          <w:b/>
          <w:bCs/>
          <w:sz w:val="20"/>
        </w:rPr>
      </w:pPr>
    </w:p>
    <w:p w14:paraId="0B34EADC" w14:textId="77777777" w:rsidR="005666F0" w:rsidRPr="005666F0" w:rsidRDefault="005666F0" w:rsidP="005666F0">
      <w:pPr>
        <w:pStyle w:val="Subttulo"/>
      </w:pPr>
      <w:r w:rsidRPr="005666F0">
        <w:t>Efectivo y equivalentes al efectivo al final del ejercicio</w:t>
      </w:r>
    </w:p>
    <w:p w14:paraId="0822A6CF" w14:textId="77777777" w:rsidR="005666F0" w:rsidRPr="005666F0" w:rsidRDefault="005666F0" w:rsidP="005666F0">
      <w:pPr>
        <w:jc w:val="both"/>
        <w:outlineLvl w:val="0"/>
        <w:rPr>
          <w:rFonts w:ascii="Arial" w:hAnsi="Arial"/>
          <w:b/>
          <w:bCs/>
          <w:sz w:val="20"/>
        </w:rPr>
      </w:pPr>
    </w:p>
    <w:p w14:paraId="3465FF1C" w14:textId="77777777" w:rsidR="005666F0" w:rsidRPr="005666F0" w:rsidRDefault="005666F0" w:rsidP="005666F0">
      <w:pPr>
        <w:jc w:val="both"/>
        <w:outlineLvl w:val="0"/>
        <w:rPr>
          <w:rFonts w:ascii="Arial" w:hAnsi="Arial"/>
          <w:bCs/>
          <w:sz w:val="20"/>
        </w:rPr>
      </w:pPr>
      <w:r w:rsidRPr="005666F0">
        <w:rPr>
          <w:rFonts w:ascii="Arial" w:hAnsi="Arial"/>
          <w:bCs/>
          <w:sz w:val="20"/>
        </w:rPr>
        <w:t xml:space="preserve">Las cifras del efectivo y equivalentes al efectivo, al final del ejercicio que figuran en la última parte del Estado de Flujos de Efectivo de las Instituciones Públicas de Seguridad Social. </w:t>
      </w:r>
    </w:p>
    <w:p w14:paraId="47F89995" w14:textId="77777777" w:rsidR="005666F0" w:rsidRPr="005666F0" w:rsidRDefault="005666F0" w:rsidP="005666F0">
      <w:pPr>
        <w:jc w:val="both"/>
        <w:outlineLvl w:val="0"/>
        <w:rPr>
          <w:rFonts w:ascii="Arial" w:hAnsi="Arial"/>
          <w:b/>
          <w:bCs/>
          <w:sz w:val="20"/>
        </w:rPr>
      </w:pPr>
    </w:p>
    <w:p w14:paraId="2728BCC0" w14:textId="6BF281B2" w:rsidR="005666F0" w:rsidRPr="005666F0" w:rsidRDefault="00922E82" w:rsidP="005666F0">
      <w:pPr>
        <w:jc w:val="center"/>
        <w:outlineLvl w:val="0"/>
        <w:rPr>
          <w:rFonts w:ascii="Arial" w:hAnsi="Arial"/>
          <w:b/>
          <w:bCs/>
          <w:sz w:val="20"/>
        </w:rPr>
      </w:pPr>
      <w:r w:rsidRPr="00922E82">
        <w:rPr>
          <w:noProof/>
        </w:rPr>
        <w:drawing>
          <wp:inline distT="0" distB="0" distL="0" distR="0" wp14:anchorId="408358C2" wp14:editId="0C0D0E83">
            <wp:extent cx="4152900" cy="1085850"/>
            <wp:effectExtent l="0" t="0" r="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52900" cy="1085850"/>
                    </a:xfrm>
                    <a:prstGeom prst="rect">
                      <a:avLst/>
                    </a:prstGeom>
                    <a:noFill/>
                    <a:ln>
                      <a:noFill/>
                    </a:ln>
                  </pic:spPr>
                </pic:pic>
              </a:graphicData>
            </a:graphic>
          </wp:inline>
        </w:drawing>
      </w:r>
    </w:p>
    <w:p w14:paraId="60DDE07F" w14:textId="77777777" w:rsidR="005666F0" w:rsidRPr="005666F0" w:rsidRDefault="005666F0" w:rsidP="005666F0">
      <w:pPr>
        <w:jc w:val="both"/>
        <w:outlineLvl w:val="0"/>
        <w:rPr>
          <w:rFonts w:ascii="Arial" w:hAnsi="Arial"/>
          <w:b/>
          <w:bCs/>
          <w:sz w:val="20"/>
        </w:rPr>
      </w:pPr>
    </w:p>
    <w:p w14:paraId="3AFA64AB" w14:textId="77777777" w:rsidR="005666F0" w:rsidRPr="005666F0" w:rsidRDefault="005666F0" w:rsidP="005666F0">
      <w:pPr>
        <w:jc w:val="both"/>
        <w:outlineLvl w:val="0"/>
        <w:rPr>
          <w:rFonts w:ascii="Arial" w:hAnsi="Arial"/>
          <w:b/>
          <w:bCs/>
          <w:sz w:val="20"/>
        </w:rPr>
      </w:pPr>
    </w:p>
    <w:p w14:paraId="32F4C99E" w14:textId="77777777" w:rsidR="005666F0" w:rsidRPr="005666F0" w:rsidRDefault="005666F0" w:rsidP="005666F0">
      <w:pPr>
        <w:pStyle w:val="Subttulo"/>
      </w:pPr>
      <w:r w:rsidRPr="005666F0">
        <w:t xml:space="preserve">Efectivo y equivalentes </w:t>
      </w:r>
    </w:p>
    <w:p w14:paraId="73E76F89" w14:textId="77777777" w:rsidR="005666F0" w:rsidRPr="005666F0" w:rsidRDefault="005666F0" w:rsidP="005666F0">
      <w:pPr>
        <w:jc w:val="both"/>
        <w:outlineLvl w:val="0"/>
        <w:rPr>
          <w:rFonts w:ascii="Arial" w:hAnsi="Arial"/>
          <w:b/>
          <w:bCs/>
          <w:sz w:val="20"/>
        </w:rPr>
      </w:pPr>
    </w:p>
    <w:p w14:paraId="10AEE35E" w14:textId="77777777" w:rsidR="005666F0" w:rsidRPr="005666F0" w:rsidRDefault="005666F0" w:rsidP="005666F0">
      <w:pPr>
        <w:jc w:val="both"/>
        <w:outlineLvl w:val="0"/>
        <w:rPr>
          <w:rFonts w:ascii="Arial" w:hAnsi="Arial"/>
          <w:bCs/>
          <w:sz w:val="20"/>
        </w:rPr>
      </w:pPr>
      <w:r w:rsidRPr="005666F0">
        <w:rPr>
          <w:rFonts w:ascii="Arial" w:hAnsi="Arial"/>
          <w:bCs/>
          <w:sz w:val="20"/>
        </w:rPr>
        <w:t>El análisis de los saldos inicial y final de efectivo y equivalentes al efectivo, al final del ejercicio del estado de flujos de efectivo, respecto a la composición del rubro efectivo y equivalentes es como sigue:</w:t>
      </w:r>
    </w:p>
    <w:p w14:paraId="205545B9" w14:textId="77777777" w:rsidR="005666F0" w:rsidRPr="005666F0" w:rsidRDefault="005666F0" w:rsidP="005666F0">
      <w:pPr>
        <w:jc w:val="both"/>
        <w:outlineLvl w:val="0"/>
        <w:rPr>
          <w:rFonts w:ascii="Arial" w:hAnsi="Arial"/>
          <w:b/>
          <w:bCs/>
          <w:sz w:val="20"/>
        </w:rPr>
      </w:pPr>
    </w:p>
    <w:p w14:paraId="02608302" w14:textId="7E21B597" w:rsidR="005666F0" w:rsidRPr="005666F0" w:rsidRDefault="00922E82" w:rsidP="00164B5D">
      <w:pPr>
        <w:tabs>
          <w:tab w:val="left" w:pos="6840"/>
        </w:tabs>
        <w:jc w:val="center"/>
        <w:outlineLvl w:val="0"/>
        <w:rPr>
          <w:rFonts w:ascii="Arial" w:hAnsi="Arial"/>
          <w:sz w:val="20"/>
        </w:rPr>
      </w:pPr>
      <w:r w:rsidRPr="00922E82">
        <w:rPr>
          <w:noProof/>
        </w:rPr>
        <w:drawing>
          <wp:inline distT="0" distB="0" distL="0" distR="0" wp14:anchorId="3A1866A9" wp14:editId="72FD653C">
            <wp:extent cx="4152900" cy="1962150"/>
            <wp:effectExtent l="0" t="0" r="0"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52900" cy="1962150"/>
                    </a:xfrm>
                    <a:prstGeom prst="rect">
                      <a:avLst/>
                    </a:prstGeom>
                    <a:noFill/>
                    <a:ln>
                      <a:noFill/>
                    </a:ln>
                  </pic:spPr>
                </pic:pic>
              </a:graphicData>
            </a:graphic>
          </wp:inline>
        </w:drawing>
      </w:r>
    </w:p>
    <w:p w14:paraId="4B8E8B10" w14:textId="77777777" w:rsidR="005666F0" w:rsidRPr="005666F0" w:rsidRDefault="005666F0" w:rsidP="005666F0">
      <w:pPr>
        <w:tabs>
          <w:tab w:val="left" w:pos="6840"/>
        </w:tabs>
        <w:jc w:val="both"/>
        <w:outlineLvl w:val="0"/>
        <w:rPr>
          <w:rFonts w:ascii="Arial" w:hAnsi="Arial"/>
          <w:i/>
          <w:sz w:val="20"/>
        </w:rPr>
      </w:pPr>
    </w:p>
    <w:p w14:paraId="3679CC84" w14:textId="77777777" w:rsidR="005666F0" w:rsidRPr="005666F0" w:rsidRDefault="005666F0" w:rsidP="005666F0">
      <w:pPr>
        <w:tabs>
          <w:tab w:val="left" w:pos="6840"/>
        </w:tabs>
        <w:jc w:val="both"/>
        <w:outlineLvl w:val="0"/>
        <w:rPr>
          <w:rFonts w:ascii="Arial" w:hAnsi="Arial"/>
          <w:i/>
          <w:sz w:val="20"/>
        </w:rPr>
      </w:pPr>
    </w:p>
    <w:p w14:paraId="79A7BD6A" w14:textId="77777777" w:rsidR="005666F0" w:rsidRPr="005666F0" w:rsidRDefault="005666F0" w:rsidP="005666F0">
      <w:pPr>
        <w:pStyle w:val="Subttulo"/>
      </w:pPr>
      <w:r w:rsidRPr="005666F0">
        <w:t>Adquisiciones de las Actividades de Inversión efectivamente pagadas</w:t>
      </w:r>
    </w:p>
    <w:p w14:paraId="331A8711" w14:textId="77777777" w:rsidR="005666F0" w:rsidRPr="005666F0" w:rsidRDefault="005666F0" w:rsidP="005666F0">
      <w:pPr>
        <w:jc w:val="both"/>
        <w:outlineLvl w:val="0"/>
        <w:rPr>
          <w:rFonts w:ascii="Arial" w:hAnsi="Arial"/>
          <w:b/>
          <w:bCs/>
          <w:sz w:val="20"/>
        </w:rPr>
      </w:pPr>
    </w:p>
    <w:p w14:paraId="1BBC5EE2" w14:textId="7B0D69AD" w:rsidR="005666F0" w:rsidRPr="005666F0" w:rsidRDefault="005666F0" w:rsidP="005666F0">
      <w:pPr>
        <w:jc w:val="both"/>
        <w:outlineLvl w:val="0"/>
        <w:rPr>
          <w:rFonts w:ascii="Arial" w:hAnsi="Arial"/>
          <w:bCs/>
          <w:sz w:val="20"/>
        </w:rPr>
      </w:pPr>
      <w:r w:rsidRPr="005666F0">
        <w:rPr>
          <w:rFonts w:ascii="Arial" w:hAnsi="Arial"/>
          <w:bCs/>
          <w:sz w:val="20"/>
        </w:rPr>
        <w:t xml:space="preserve">Al </w:t>
      </w:r>
      <w:r w:rsidR="008E371A">
        <w:rPr>
          <w:rFonts w:ascii="Arial" w:hAnsi="Arial"/>
          <w:bCs/>
          <w:sz w:val="20"/>
        </w:rPr>
        <w:t xml:space="preserve">30 de </w:t>
      </w:r>
      <w:r w:rsidR="00585EC2">
        <w:rPr>
          <w:rFonts w:ascii="Arial" w:hAnsi="Arial"/>
          <w:bCs/>
          <w:sz w:val="20"/>
        </w:rPr>
        <w:t xml:space="preserve">septiembre </w:t>
      </w:r>
      <w:r w:rsidRPr="005666F0">
        <w:rPr>
          <w:rFonts w:ascii="Arial" w:hAnsi="Arial"/>
          <w:bCs/>
          <w:sz w:val="20"/>
        </w:rPr>
        <w:t>de 2023, se realizaron adquisiciones de las Actividades de Inversión efectivamente pagadas, respecto al apartado de aplicación, mismas que a continuación se describen:</w:t>
      </w:r>
    </w:p>
    <w:p w14:paraId="2490D76C" w14:textId="77777777" w:rsidR="005666F0" w:rsidRPr="005666F0" w:rsidRDefault="005666F0" w:rsidP="005666F0">
      <w:pPr>
        <w:jc w:val="both"/>
        <w:outlineLvl w:val="0"/>
        <w:rPr>
          <w:rFonts w:ascii="Arial" w:hAnsi="Arial"/>
          <w:bCs/>
          <w:sz w:val="20"/>
        </w:rPr>
      </w:pPr>
    </w:p>
    <w:p w14:paraId="63A52379" w14:textId="017E760D" w:rsidR="005666F0" w:rsidRPr="005666F0" w:rsidRDefault="00922E82" w:rsidP="005666F0">
      <w:pPr>
        <w:jc w:val="center"/>
        <w:outlineLvl w:val="0"/>
        <w:rPr>
          <w:rFonts w:ascii="Arial" w:hAnsi="Arial"/>
          <w:bCs/>
          <w:sz w:val="20"/>
        </w:rPr>
      </w:pPr>
      <w:r w:rsidRPr="00922E82">
        <w:rPr>
          <w:noProof/>
        </w:rPr>
        <w:lastRenderedPageBreak/>
        <w:drawing>
          <wp:inline distT="0" distB="0" distL="0" distR="0" wp14:anchorId="0B4C8F77" wp14:editId="0A3DD76F">
            <wp:extent cx="4152900" cy="3429000"/>
            <wp:effectExtent l="0" t="0" r="0" b="0"/>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152900" cy="3429000"/>
                    </a:xfrm>
                    <a:prstGeom prst="rect">
                      <a:avLst/>
                    </a:prstGeom>
                    <a:noFill/>
                    <a:ln>
                      <a:noFill/>
                    </a:ln>
                  </pic:spPr>
                </pic:pic>
              </a:graphicData>
            </a:graphic>
          </wp:inline>
        </w:drawing>
      </w:r>
    </w:p>
    <w:p w14:paraId="08A5400B" w14:textId="77777777" w:rsidR="005666F0" w:rsidRPr="005666F0" w:rsidRDefault="005666F0" w:rsidP="005666F0">
      <w:pPr>
        <w:tabs>
          <w:tab w:val="left" w:pos="6840"/>
        </w:tabs>
        <w:jc w:val="both"/>
        <w:outlineLvl w:val="0"/>
        <w:rPr>
          <w:rFonts w:ascii="Arial" w:hAnsi="Arial"/>
          <w:sz w:val="20"/>
        </w:rPr>
      </w:pPr>
    </w:p>
    <w:p w14:paraId="7916D6CB" w14:textId="77777777" w:rsidR="00AB01CE" w:rsidRDefault="00AB01CE" w:rsidP="009023DF">
      <w:pPr>
        <w:pStyle w:val="Subttulo"/>
      </w:pPr>
    </w:p>
    <w:p w14:paraId="18972AE2" w14:textId="77777777" w:rsidR="009023DF" w:rsidRPr="005666F0" w:rsidRDefault="009023DF" w:rsidP="009023DF">
      <w:pPr>
        <w:pStyle w:val="Subttulo"/>
      </w:pPr>
      <w:r w:rsidRPr="005666F0">
        <w:t>Conciliación de Flujos de Efectivo Netos</w:t>
      </w:r>
    </w:p>
    <w:p w14:paraId="7A54D54C" w14:textId="77777777" w:rsidR="009023DF" w:rsidRPr="005666F0" w:rsidRDefault="009023DF" w:rsidP="009023DF">
      <w:pPr>
        <w:spacing w:line="259" w:lineRule="auto"/>
        <w:rPr>
          <w:rFonts w:ascii="Arial" w:hAnsi="Arial"/>
          <w:bCs/>
          <w:sz w:val="20"/>
        </w:rPr>
      </w:pPr>
    </w:p>
    <w:p w14:paraId="2387C377" w14:textId="77777777" w:rsidR="009023DF" w:rsidRPr="005666F0" w:rsidRDefault="009023DF" w:rsidP="009023DF">
      <w:pPr>
        <w:spacing w:line="259" w:lineRule="auto"/>
        <w:jc w:val="both"/>
        <w:rPr>
          <w:rFonts w:ascii="Arial" w:hAnsi="Arial"/>
          <w:sz w:val="20"/>
        </w:rPr>
      </w:pPr>
      <w:r w:rsidRPr="005666F0">
        <w:rPr>
          <w:rFonts w:ascii="Arial" w:hAnsi="Arial"/>
          <w:bCs/>
          <w:sz w:val="20"/>
        </w:rPr>
        <w:t>A continuación, se presenta la conciliación de los flujos de efectivo netos de las actividades de operación y saldos de resultados del ejercicio (ahorro/desahorro):</w:t>
      </w:r>
    </w:p>
    <w:p w14:paraId="69A599AD" w14:textId="77777777" w:rsidR="009023DF" w:rsidRPr="009023DF" w:rsidRDefault="009023DF" w:rsidP="005666F0">
      <w:pPr>
        <w:pStyle w:val="Subttulo"/>
        <w:rPr>
          <w:lang w:val="es-MX"/>
        </w:rPr>
      </w:pPr>
    </w:p>
    <w:p w14:paraId="176A0BCA" w14:textId="31367AF7" w:rsidR="009023DF" w:rsidRDefault="00922E82" w:rsidP="005666F0">
      <w:pPr>
        <w:pStyle w:val="Subttulo"/>
      </w:pPr>
      <w:r w:rsidRPr="00922E82">
        <w:rPr>
          <w:noProof/>
        </w:rPr>
        <w:drawing>
          <wp:inline distT="0" distB="0" distL="0" distR="0" wp14:anchorId="2DD22F6E" wp14:editId="74B0799D">
            <wp:extent cx="6381750" cy="1743075"/>
            <wp:effectExtent l="0" t="0" r="0"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381750" cy="1743075"/>
                    </a:xfrm>
                    <a:prstGeom prst="rect">
                      <a:avLst/>
                    </a:prstGeom>
                    <a:noFill/>
                    <a:ln>
                      <a:noFill/>
                    </a:ln>
                  </pic:spPr>
                </pic:pic>
              </a:graphicData>
            </a:graphic>
          </wp:inline>
        </w:drawing>
      </w:r>
    </w:p>
    <w:p w14:paraId="1DFB1207" w14:textId="24615788" w:rsidR="009023DF" w:rsidRDefault="009023DF" w:rsidP="005666F0">
      <w:pPr>
        <w:pStyle w:val="Subttulo"/>
      </w:pPr>
    </w:p>
    <w:p w14:paraId="4567C875" w14:textId="77777777" w:rsidR="009023DF" w:rsidRDefault="009023DF" w:rsidP="005666F0">
      <w:pPr>
        <w:pStyle w:val="Subttulo"/>
      </w:pPr>
    </w:p>
    <w:p w14:paraId="1CAF8FEE" w14:textId="110567C1" w:rsidR="005666F0" w:rsidRPr="005666F0" w:rsidRDefault="005666F0" w:rsidP="005666F0">
      <w:pPr>
        <w:pStyle w:val="Subttulo"/>
      </w:pPr>
      <w:r w:rsidRPr="005666F0">
        <w:t>Conciliación entre los ingresos presupuestarios y contables, así como entre los egresos presupuestarios y los gastos contables</w:t>
      </w:r>
    </w:p>
    <w:p w14:paraId="163162FF" w14:textId="77777777" w:rsidR="005666F0" w:rsidRPr="005666F0" w:rsidRDefault="005666F0" w:rsidP="005666F0">
      <w:pPr>
        <w:spacing w:line="259" w:lineRule="auto"/>
        <w:jc w:val="both"/>
        <w:rPr>
          <w:rFonts w:ascii="Arial" w:hAnsi="Arial"/>
          <w:bCs/>
          <w:sz w:val="20"/>
        </w:rPr>
      </w:pPr>
    </w:p>
    <w:p w14:paraId="7FAF99B0" w14:textId="4787A9C4" w:rsidR="005666F0" w:rsidRPr="005666F0" w:rsidRDefault="005666F0" w:rsidP="005666F0">
      <w:pPr>
        <w:spacing w:line="259" w:lineRule="auto"/>
        <w:jc w:val="both"/>
        <w:rPr>
          <w:rFonts w:ascii="Arial" w:hAnsi="Arial"/>
          <w:sz w:val="20"/>
        </w:rPr>
      </w:pPr>
      <w:r w:rsidRPr="005666F0">
        <w:rPr>
          <w:rFonts w:ascii="Arial" w:hAnsi="Arial"/>
          <w:bCs/>
          <w:sz w:val="20"/>
        </w:rPr>
        <w:t xml:space="preserve">De conformidad a lo dispuesto por el “Acuerdo por el que se emite el formato de conciliación entre los ingresos presupuestarios y contables, así como entre los egresos presupuestarios y los gastos contables” y sus modificaciones, dictado por el Consejo Nacional de Armonización Contable, a continuación, se presenta la conciliación contable-presupuestaria de las Instituciones Públicas de Seguridad Social, correspondiente del 1 de enero al </w:t>
      </w:r>
      <w:r w:rsidR="008E371A">
        <w:rPr>
          <w:rFonts w:ascii="Arial" w:hAnsi="Arial"/>
          <w:bCs/>
          <w:sz w:val="20"/>
        </w:rPr>
        <w:t xml:space="preserve">30 de </w:t>
      </w:r>
      <w:r w:rsidR="003D6F63">
        <w:rPr>
          <w:rFonts w:ascii="Arial" w:hAnsi="Arial"/>
          <w:bCs/>
          <w:sz w:val="20"/>
        </w:rPr>
        <w:t xml:space="preserve">septiembre </w:t>
      </w:r>
      <w:r w:rsidRPr="005666F0">
        <w:rPr>
          <w:rFonts w:ascii="Arial" w:hAnsi="Arial"/>
          <w:bCs/>
          <w:sz w:val="20"/>
        </w:rPr>
        <w:t>de 2023:</w:t>
      </w:r>
    </w:p>
    <w:p w14:paraId="0EA7F8F7" w14:textId="77777777" w:rsidR="005666F0" w:rsidRDefault="005666F0" w:rsidP="005666F0">
      <w:pPr>
        <w:jc w:val="both"/>
        <w:outlineLvl w:val="0"/>
        <w:rPr>
          <w:rFonts w:ascii="Arial" w:hAnsi="Arial"/>
          <w:sz w:val="20"/>
        </w:rPr>
      </w:pPr>
    </w:p>
    <w:p w14:paraId="290EED5E" w14:textId="77777777" w:rsidR="003D6F63" w:rsidRDefault="003D6F63" w:rsidP="005666F0">
      <w:pPr>
        <w:jc w:val="both"/>
        <w:outlineLvl w:val="0"/>
        <w:rPr>
          <w:rFonts w:ascii="Arial" w:hAnsi="Arial"/>
          <w:sz w:val="20"/>
        </w:rPr>
      </w:pPr>
    </w:p>
    <w:p w14:paraId="3CB5010C" w14:textId="77777777" w:rsidR="003D6F63" w:rsidRPr="005666F0" w:rsidRDefault="003D6F63" w:rsidP="005666F0">
      <w:pPr>
        <w:jc w:val="both"/>
        <w:outlineLvl w:val="0"/>
        <w:rPr>
          <w:rFonts w:ascii="Arial" w:hAnsi="Arial"/>
          <w:sz w:val="20"/>
        </w:rPr>
      </w:pPr>
    </w:p>
    <w:p w14:paraId="5D06D14E" w14:textId="448294B3" w:rsidR="005666F0" w:rsidRPr="005666F0" w:rsidRDefault="00922E82" w:rsidP="005666F0">
      <w:pPr>
        <w:jc w:val="both"/>
        <w:outlineLvl w:val="0"/>
        <w:rPr>
          <w:rFonts w:ascii="Arial" w:hAnsi="Arial"/>
          <w:sz w:val="20"/>
        </w:rPr>
      </w:pPr>
      <w:r w:rsidRPr="00922E82">
        <w:rPr>
          <w:noProof/>
        </w:rPr>
        <w:lastRenderedPageBreak/>
        <w:drawing>
          <wp:inline distT="0" distB="0" distL="0" distR="0" wp14:anchorId="5070D6B4" wp14:editId="7B8BFD55">
            <wp:extent cx="6496050" cy="3590925"/>
            <wp:effectExtent l="0" t="0" r="0" b="0"/>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96050" cy="3590925"/>
                    </a:xfrm>
                    <a:prstGeom prst="rect">
                      <a:avLst/>
                    </a:prstGeom>
                    <a:noFill/>
                    <a:ln>
                      <a:noFill/>
                    </a:ln>
                  </pic:spPr>
                </pic:pic>
              </a:graphicData>
            </a:graphic>
          </wp:inline>
        </w:drawing>
      </w:r>
    </w:p>
    <w:p w14:paraId="6998724D" w14:textId="77777777" w:rsidR="005666F0" w:rsidRPr="005666F0" w:rsidRDefault="005666F0" w:rsidP="005666F0">
      <w:pPr>
        <w:jc w:val="both"/>
        <w:outlineLvl w:val="0"/>
        <w:rPr>
          <w:rFonts w:ascii="Arial" w:hAnsi="Arial"/>
          <w:sz w:val="20"/>
        </w:rPr>
      </w:pPr>
    </w:p>
    <w:p w14:paraId="1865F36E" w14:textId="77777777" w:rsidR="005666F0" w:rsidRPr="005666F0" w:rsidRDefault="005666F0" w:rsidP="005666F0">
      <w:pPr>
        <w:jc w:val="both"/>
        <w:outlineLvl w:val="0"/>
        <w:rPr>
          <w:rFonts w:ascii="Arial" w:hAnsi="Arial"/>
          <w:noProof/>
          <w:sz w:val="20"/>
          <w:lang w:eastAsia="es-MX"/>
        </w:rPr>
      </w:pPr>
    </w:p>
    <w:p w14:paraId="1A387551" w14:textId="6EB1B60A" w:rsidR="005666F0" w:rsidRPr="005666F0" w:rsidRDefault="00922E82" w:rsidP="005666F0">
      <w:pPr>
        <w:jc w:val="both"/>
        <w:outlineLvl w:val="0"/>
        <w:rPr>
          <w:rFonts w:ascii="Arial" w:hAnsi="Arial"/>
          <w:sz w:val="20"/>
        </w:rPr>
      </w:pPr>
      <w:r w:rsidRPr="00922E82">
        <w:rPr>
          <w:noProof/>
        </w:rPr>
        <w:lastRenderedPageBreak/>
        <w:drawing>
          <wp:inline distT="0" distB="0" distL="0" distR="0" wp14:anchorId="31BF3BA8" wp14:editId="357A2B8D">
            <wp:extent cx="6691630" cy="6373495"/>
            <wp:effectExtent l="0" t="0" r="0" b="0"/>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91630" cy="6373495"/>
                    </a:xfrm>
                    <a:prstGeom prst="rect">
                      <a:avLst/>
                    </a:prstGeom>
                    <a:noFill/>
                    <a:ln>
                      <a:noFill/>
                    </a:ln>
                  </pic:spPr>
                </pic:pic>
              </a:graphicData>
            </a:graphic>
          </wp:inline>
        </w:drawing>
      </w:r>
    </w:p>
    <w:p w14:paraId="02F95A4E" w14:textId="77777777" w:rsidR="005666F0" w:rsidRPr="005666F0" w:rsidRDefault="005666F0" w:rsidP="005666F0">
      <w:pPr>
        <w:jc w:val="both"/>
        <w:outlineLvl w:val="0"/>
        <w:rPr>
          <w:rFonts w:ascii="Arial" w:hAnsi="Arial"/>
          <w:bCs/>
          <w:sz w:val="20"/>
        </w:rPr>
      </w:pPr>
    </w:p>
    <w:p w14:paraId="330A0674" w14:textId="77777777" w:rsidR="005666F0" w:rsidRPr="005666F0" w:rsidRDefault="005666F0" w:rsidP="005666F0">
      <w:pPr>
        <w:jc w:val="both"/>
        <w:outlineLvl w:val="0"/>
        <w:rPr>
          <w:rFonts w:ascii="Arial" w:hAnsi="Arial"/>
          <w:bCs/>
          <w:sz w:val="20"/>
        </w:rPr>
      </w:pPr>
    </w:p>
    <w:p w14:paraId="22A658C0" w14:textId="77777777" w:rsidR="005666F0" w:rsidRPr="005666F0" w:rsidRDefault="005666F0" w:rsidP="005666F0">
      <w:pPr>
        <w:rPr>
          <w:rFonts w:ascii="Arial" w:eastAsia="Times New Roman" w:hAnsi="Arial" w:cs="Arial"/>
          <w:b/>
          <w:bCs/>
          <w:sz w:val="24"/>
          <w:szCs w:val="24"/>
          <w:lang w:val="es-ES" w:eastAsia="es-ES"/>
        </w:rPr>
      </w:pPr>
      <w:r w:rsidRPr="005666F0">
        <w:rPr>
          <w:rFonts w:ascii="Arial" w:eastAsia="Times New Roman" w:hAnsi="Arial" w:cs="Arial"/>
          <w:b/>
          <w:bCs/>
          <w:sz w:val="24"/>
          <w:szCs w:val="24"/>
          <w:lang w:val="es-ES" w:eastAsia="es-ES"/>
        </w:rPr>
        <w:t>Notas de memoria (cuentas de orden)</w:t>
      </w:r>
    </w:p>
    <w:p w14:paraId="62A7889A" w14:textId="77777777" w:rsidR="005666F0" w:rsidRPr="005666F0" w:rsidRDefault="005666F0" w:rsidP="005666F0">
      <w:pPr>
        <w:jc w:val="both"/>
        <w:outlineLvl w:val="0"/>
        <w:rPr>
          <w:rFonts w:ascii="Arial" w:eastAsia="Calibri" w:hAnsi="Arial" w:cs="Times New Roman"/>
          <w:b/>
          <w:bCs/>
          <w:sz w:val="20"/>
        </w:rPr>
      </w:pPr>
    </w:p>
    <w:p w14:paraId="50306764" w14:textId="77777777" w:rsidR="005666F0" w:rsidRPr="005666F0" w:rsidRDefault="005666F0" w:rsidP="005666F0">
      <w:pPr>
        <w:jc w:val="both"/>
        <w:outlineLvl w:val="0"/>
        <w:rPr>
          <w:rFonts w:ascii="Arial" w:hAnsi="Arial"/>
          <w:bCs/>
          <w:sz w:val="20"/>
        </w:rPr>
      </w:pPr>
      <w:r w:rsidRPr="005666F0">
        <w:rPr>
          <w:rFonts w:ascii="Arial" w:hAnsi="Arial"/>
          <w:bCs/>
          <w:sz w:val="20"/>
        </w:rPr>
        <w:t>Atendiendo a lo establecido en la Ley General de Contabilidad Gubernamental, para efectos del registro y control, el Consejo Nacional de Armonización Contable ha determinado cuentas de orden contables, mismas que se presentan en el plan de cuentas.</w:t>
      </w:r>
    </w:p>
    <w:p w14:paraId="6BFB534C" w14:textId="77777777" w:rsidR="005666F0" w:rsidRPr="005666F0" w:rsidRDefault="005666F0" w:rsidP="005666F0">
      <w:pPr>
        <w:jc w:val="both"/>
        <w:outlineLvl w:val="0"/>
        <w:rPr>
          <w:rFonts w:ascii="Arial" w:hAnsi="Arial"/>
          <w:bCs/>
          <w:sz w:val="20"/>
        </w:rPr>
      </w:pPr>
    </w:p>
    <w:p w14:paraId="23B78100" w14:textId="77777777" w:rsidR="005666F0" w:rsidRPr="005666F0" w:rsidRDefault="005666F0" w:rsidP="005666F0">
      <w:pPr>
        <w:jc w:val="both"/>
        <w:outlineLvl w:val="0"/>
        <w:rPr>
          <w:rFonts w:ascii="Arial" w:hAnsi="Arial"/>
          <w:bCs/>
          <w:sz w:val="20"/>
        </w:rPr>
      </w:pPr>
      <w:r w:rsidRPr="005666F0">
        <w:rPr>
          <w:rFonts w:ascii="Arial" w:hAnsi="Arial"/>
          <w:bCs/>
          <w:sz w:val="20"/>
        </w:rPr>
        <w:t>Las notas de memoria, representan los movimientos de valores que no afecten o modifiquen el balance de las Instituciones Públicas de Seguridad Social, sin embargo, su incorporación en libros es necesaria con fines de recordatorio contable, de control y en general sobre los aspectos administrativos, o bien, para consignar sus derechos o responsabilidades contingentes que puedan, o no, presentarse en el futuro.</w:t>
      </w:r>
    </w:p>
    <w:p w14:paraId="51DC902D" w14:textId="77777777" w:rsidR="005666F0" w:rsidRPr="005666F0" w:rsidRDefault="005666F0" w:rsidP="005666F0">
      <w:pPr>
        <w:jc w:val="both"/>
        <w:outlineLvl w:val="0"/>
        <w:rPr>
          <w:rFonts w:ascii="Arial" w:hAnsi="Arial"/>
          <w:bCs/>
          <w:sz w:val="20"/>
        </w:rPr>
      </w:pPr>
    </w:p>
    <w:p w14:paraId="1593EA83" w14:textId="2FF9802E" w:rsidR="005666F0" w:rsidRDefault="005666F0" w:rsidP="005666F0">
      <w:pPr>
        <w:jc w:val="both"/>
        <w:outlineLvl w:val="0"/>
        <w:rPr>
          <w:rFonts w:ascii="Arial" w:hAnsi="Arial"/>
          <w:bCs/>
          <w:sz w:val="20"/>
        </w:rPr>
      </w:pPr>
    </w:p>
    <w:p w14:paraId="11B7247A" w14:textId="77777777" w:rsidR="009023DF" w:rsidRPr="005666F0" w:rsidRDefault="009023DF" w:rsidP="005666F0">
      <w:pPr>
        <w:jc w:val="both"/>
        <w:outlineLvl w:val="0"/>
        <w:rPr>
          <w:rFonts w:ascii="Arial" w:hAnsi="Arial"/>
          <w:bCs/>
          <w:sz w:val="20"/>
        </w:rPr>
      </w:pPr>
    </w:p>
    <w:p w14:paraId="66986719" w14:textId="77777777" w:rsidR="005666F0" w:rsidRPr="005666F0" w:rsidRDefault="005666F0" w:rsidP="005666F0">
      <w:pPr>
        <w:pStyle w:val="Subttulo"/>
        <w:rPr>
          <w:caps/>
        </w:rPr>
      </w:pPr>
      <w:r w:rsidRPr="005666F0">
        <w:lastRenderedPageBreak/>
        <w:t>Cuentas de orden contables</w:t>
      </w:r>
    </w:p>
    <w:p w14:paraId="7FB81D2B" w14:textId="77777777" w:rsidR="005666F0" w:rsidRPr="005666F0" w:rsidRDefault="005666F0" w:rsidP="005666F0">
      <w:pPr>
        <w:jc w:val="both"/>
        <w:outlineLvl w:val="0"/>
        <w:rPr>
          <w:rFonts w:ascii="Arial" w:eastAsia="Calibri" w:hAnsi="Arial" w:cs="Times New Roman"/>
          <w:b/>
          <w:bCs/>
          <w:i/>
          <w:iCs/>
          <w:sz w:val="20"/>
        </w:rPr>
      </w:pPr>
    </w:p>
    <w:p w14:paraId="5543FAD3" w14:textId="77777777" w:rsidR="005666F0" w:rsidRPr="005666F0" w:rsidRDefault="005666F0" w:rsidP="005666F0">
      <w:pPr>
        <w:pStyle w:val="Subttulo"/>
      </w:pPr>
      <w:r w:rsidRPr="005666F0">
        <w:t>Valores</w:t>
      </w:r>
    </w:p>
    <w:p w14:paraId="2BFA4267" w14:textId="77777777" w:rsidR="005666F0" w:rsidRPr="005666F0" w:rsidRDefault="005666F0" w:rsidP="005666F0">
      <w:pPr>
        <w:autoSpaceDE w:val="0"/>
        <w:autoSpaceDN w:val="0"/>
        <w:adjustRightInd w:val="0"/>
        <w:jc w:val="both"/>
        <w:rPr>
          <w:rFonts w:ascii="Arial" w:hAnsi="Arial"/>
          <w:b/>
          <w:i/>
          <w:sz w:val="20"/>
        </w:rPr>
      </w:pPr>
    </w:p>
    <w:p w14:paraId="3AD2236A" w14:textId="77777777" w:rsidR="005666F0" w:rsidRPr="005666F0" w:rsidRDefault="005666F0" w:rsidP="005666F0">
      <w:pPr>
        <w:autoSpaceDE w:val="0"/>
        <w:autoSpaceDN w:val="0"/>
        <w:adjustRightInd w:val="0"/>
        <w:jc w:val="both"/>
        <w:rPr>
          <w:rFonts w:ascii="Arial" w:hAnsi="Arial"/>
          <w:sz w:val="20"/>
        </w:rPr>
      </w:pPr>
      <w:r w:rsidRPr="005666F0">
        <w:rPr>
          <w:rFonts w:ascii="Arial" w:hAnsi="Arial"/>
          <w:sz w:val="20"/>
        </w:rPr>
        <w:t>Corresponde a ejercicios anteriores, el cual se encuentra en proceso de depuración con fundamento en el artículo 15 frac. VI de la normatividad contable aplicable a las entidades paraestatales del estado de Chiapas.</w:t>
      </w:r>
    </w:p>
    <w:p w14:paraId="2AA5639D" w14:textId="77777777" w:rsidR="005666F0" w:rsidRPr="005666F0" w:rsidRDefault="005666F0" w:rsidP="005666F0">
      <w:pPr>
        <w:autoSpaceDE w:val="0"/>
        <w:autoSpaceDN w:val="0"/>
        <w:adjustRightInd w:val="0"/>
        <w:jc w:val="both"/>
        <w:rPr>
          <w:rFonts w:ascii="Arial" w:hAnsi="Arial"/>
          <w:sz w:val="20"/>
        </w:rPr>
      </w:pPr>
    </w:p>
    <w:p w14:paraId="25EB4A2A" w14:textId="195DF496" w:rsidR="005666F0" w:rsidRPr="005666F0" w:rsidRDefault="00922E82" w:rsidP="005666F0">
      <w:pPr>
        <w:autoSpaceDE w:val="0"/>
        <w:autoSpaceDN w:val="0"/>
        <w:adjustRightInd w:val="0"/>
        <w:jc w:val="center"/>
        <w:rPr>
          <w:rFonts w:ascii="Arial" w:hAnsi="Arial"/>
          <w:sz w:val="20"/>
        </w:rPr>
      </w:pPr>
      <w:r w:rsidRPr="00922E82">
        <w:rPr>
          <w:noProof/>
        </w:rPr>
        <w:drawing>
          <wp:inline distT="0" distB="0" distL="0" distR="0" wp14:anchorId="2AAC4F68" wp14:editId="74987F70">
            <wp:extent cx="6334125" cy="1809750"/>
            <wp:effectExtent l="0" t="0" r="9525" b="0"/>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334125" cy="1809750"/>
                    </a:xfrm>
                    <a:prstGeom prst="rect">
                      <a:avLst/>
                    </a:prstGeom>
                    <a:noFill/>
                    <a:ln>
                      <a:noFill/>
                    </a:ln>
                  </pic:spPr>
                </pic:pic>
              </a:graphicData>
            </a:graphic>
          </wp:inline>
        </w:drawing>
      </w:r>
    </w:p>
    <w:p w14:paraId="4E88F5B7" w14:textId="77777777" w:rsidR="005666F0" w:rsidRPr="005666F0" w:rsidRDefault="005666F0" w:rsidP="005666F0">
      <w:pPr>
        <w:autoSpaceDE w:val="0"/>
        <w:autoSpaceDN w:val="0"/>
        <w:adjustRightInd w:val="0"/>
        <w:jc w:val="both"/>
        <w:rPr>
          <w:rFonts w:ascii="Arial" w:hAnsi="Arial"/>
          <w:sz w:val="20"/>
        </w:rPr>
      </w:pPr>
    </w:p>
    <w:p w14:paraId="774739C1" w14:textId="77777777" w:rsidR="005666F0" w:rsidRPr="005666F0" w:rsidRDefault="005666F0" w:rsidP="005666F0">
      <w:pPr>
        <w:autoSpaceDE w:val="0"/>
        <w:autoSpaceDN w:val="0"/>
        <w:adjustRightInd w:val="0"/>
        <w:jc w:val="both"/>
        <w:rPr>
          <w:rFonts w:ascii="Arial" w:hAnsi="Arial"/>
          <w:sz w:val="20"/>
        </w:rPr>
      </w:pPr>
    </w:p>
    <w:p w14:paraId="027F9DDF" w14:textId="77777777" w:rsidR="005666F0" w:rsidRPr="005666F0" w:rsidRDefault="005666F0" w:rsidP="005666F0">
      <w:pPr>
        <w:pStyle w:val="Subttulo"/>
      </w:pPr>
      <w:r w:rsidRPr="005666F0">
        <w:t>Emisión de obligaciones</w:t>
      </w:r>
    </w:p>
    <w:p w14:paraId="74D8381E" w14:textId="77777777" w:rsidR="005666F0" w:rsidRPr="005666F0" w:rsidRDefault="005666F0" w:rsidP="005666F0">
      <w:pPr>
        <w:autoSpaceDE w:val="0"/>
        <w:autoSpaceDN w:val="0"/>
        <w:adjustRightInd w:val="0"/>
        <w:jc w:val="both"/>
        <w:rPr>
          <w:rFonts w:ascii="Arial" w:hAnsi="Arial"/>
          <w:b/>
          <w:i/>
          <w:sz w:val="20"/>
        </w:rPr>
      </w:pPr>
    </w:p>
    <w:p w14:paraId="25EDDB60" w14:textId="77777777" w:rsidR="005666F0" w:rsidRPr="005666F0" w:rsidRDefault="005666F0" w:rsidP="005666F0">
      <w:pPr>
        <w:autoSpaceDE w:val="0"/>
        <w:autoSpaceDN w:val="0"/>
        <w:adjustRightInd w:val="0"/>
        <w:jc w:val="both"/>
        <w:rPr>
          <w:rFonts w:ascii="Arial" w:hAnsi="Arial"/>
          <w:sz w:val="20"/>
        </w:rPr>
      </w:pPr>
      <w:r w:rsidRPr="005666F0">
        <w:rPr>
          <w:rFonts w:ascii="Arial" w:hAnsi="Arial"/>
          <w:sz w:val="20"/>
        </w:rPr>
        <w:t>Se integra por los intereses por cobrar, por concepto de: préstamos a corto plazo, fideicomiso, hipotecarios y damnificados Stan, que el Instituto otorga a sus derechohabientes; así como, la actualización de los intereses del deudor azul grupo constructor, S.A. de C.V, por el registro de la minusvalía de los recursos del fideicomiso invertidos en bolsa de valores.</w:t>
      </w:r>
    </w:p>
    <w:p w14:paraId="3105C1D3" w14:textId="77777777" w:rsidR="005666F0" w:rsidRPr="005666F0" w:rsidRDefault="005666F0" w:rsidP="005666F0">
      <w:pPr>
        <w:autoSpaceDE w:val="0"/>
        <w:autoSpaceDN w:val="0"/>
        <w:adjustRightInd w:val="0"/>
        <w:jc w:val="both"/>
        <w:rPr>
          <w:rFonts w:ascii="Arial" w:hAnsi="Arial"/>
          <w:sz w:val="20"/>
        </w:rPr>
      </w:pPr>
    </w:p>
    <w:p w14:paraId="44E98E39" w14:textId="58BFFB90" w:rsidR="005666F0" w:rsidRPr="005666F0" w:rsidRDefault="00F26B8D" w:rsidP="00F26B8D">
      <w:pPr>
        <w:autoSpaceDE w:val="0"/>
        <w:autoSpaceDN w:val="0"/>
        <w:adjustRightInd w:val="0"/>
        <w:jc w:val="center"/>
        <w:rPr>
          <w:rFonts w:ascii="Arial" w:hAnsi="Arial"/>
          <w:sz w:val="20"/>
        </w:rPr>
      </w:pPr>
      <w:r w:rsidRPr="00F26B8D">
        <w:rPr>
          <w:noProof/>
        </w:rPr>
        <w:drawing>
          <wp:inline distT="0" distB="0" distL="0" distR="0" wp14:anchorId="2BD82D27" wp14:editId="1DE0EBBA">
            <wp:extent cx="6181725" cy="3019425"/>
            <wp:effectExtent l="0" t="0" r="9525" b="0"/>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81725" cy="3019425"/>
                    </a:xfrm>
                    <a:prstGeom prst="rect">
                      <a:avLst/>
                    </a:prstGeom>
                    <a:noFill/>
                    <a:ln>
                      <a:noFill/>
                    </a:ln>
                  </pic:spPr>
                </pic:pic>
              </a:graphicData>
            </a:graphic>
          </wp:inline>
        </w:drawing>
      </w:r>
    </w:p>
    <w:p w14:paraId="4F0200FD" w14:textId="77777777" w:rsidR="005666F0" w:rsidRPr="005666F0" w:rsidRDefault="005666F0" w:rsidP="005666F0">
      <w:pPr>
        <w:autoSpaceDE w:val="0"/>
        <w:autoSpaceDN w:val="0"/>
        <w:adjustRightInd w:val="0"/>
        <w:jc w:val="both"/>
        <w:rPr>
          <w:rFonts w:ascii="Arial" w:hAnsi="Arial"/>
          <w:sz w:val="20"/>
        </w:rPr>
      </w:pPr>
    </w:p>
    <w:p w14:paraId="1AECD369" w14:textId="77777777" w:rsidR="005666F0" w:rsidRPr="005666F0" w:rsidRDefault="005666F0" w:rsidP="005666F0">
      <w:pPr>
        <w:autoSpaceDE w:val="0"/>
        <w:autoSpaceDN w:val="0"/>
        <w:adjustRightInd w:val="0"/>
        <w:jc w:val="both"/>
        <w:rPr>
          <w:rFonts w:ascii="Arial" w:hAnsi="Arial"/>
          <w:sz w:val="20"/>
        </w:rPr>
      </w:pPr>
    </w:p>
    <w:p w14:paraId="0A773365" w14:textId="77777777" w:rsidR="005666F0" w:rsidRPr="005666F0" w:rsidRDefault="005666F0" w:rsidP="005666F0">
      <w:pPr>
        <w:pStyle w:val="Subttulo"/>
        <w:rPr>
          <w:i/>
        </w:rPr>
      </w:pPr>
      <w:r w:rsidRPr="005666F0">
        <w:t>Juicios</w:t>
      </w:r>
    </w:p>
    <w:p w14:paraId="19FB71C6" w14:textId="77777777" w:rsidR="005666F0" w:rsidRPr="005666F0" w:rsidRDefault="005666F0" w:rsidP="005666F0">
      <w:pPr>
        <w:autoSpaceDE w:val="0"/>
        <w:autoSpaceDN w:val="0"/>
        <w:adjustRightInd w:val="0"/>
        <w:jc w:val="both"/>
        <w:rPr>
          <w:rFonts w:ascii="Arial" w:hAnsi="Arial"/>
          <w:b/>
          <w:i/>
          <w:sz w:val="20"/>
        </w:rPr>
      </w:pPr>
    </w:p>
    <w:p w14:paraId="5E4888BA" w14:textId="72BAA4DC" w:rsidR="005666F0" w:rsidRPr="005666F0" w:rsidRDefault="005666F0" w:rsidP="005666F0">
      <w:pPr>
        <w:autoSpaceDE w:val="0"/>
        <w:autoSpaceDN w:val="0"/>
        <w:adjustRightInd w:val="0"/>
        <w:jc w:val="both"/>
        <w:rPr>
          <w:rFonts w:ascii="Arial" w:hAnsi="Arial"/>
          <w:sz w:val="20"/>
        </w:rPr>
      </w:pPr>
      <w:r w:rsidRPr="005666F0">
        <w:rPr>
          <w:rFonts w:ascii="Arial" w:hAnsi="Arial"/>
          <w:sz w:val="20"/>
        </w:rPr>
        <w:t xml:space="preserve">Se integra por juicio civil en proceso de la empresa HEAL DIGITAL SYSTEMS S.A.P.I. DE C.V. sustentado por la revocación de la sentencia de fecha 31 de agosto del 2017 pronunciada en el expediente jurídico 1077/2013 al </w:t>
      </w:r>
      <w:r w:rsidR="008E371A">
        <w:rPr>
          <w:rFonts w:ascii="Arial" w:hAnsi="Arial"/>
          <w:sz w:val="20"/>
        </w:rPr>
        <w:t xml:space="preserve">30 de </w:t>
      </w:r>
      <w:r w:rsidR="003D6F63">
        <w:rPr>
          <w:rFonts w:ascii="Arial" w:hAnsi="Arial"/>
          <w:sz w:val="20"/>
        </w:rPr>
        <w:t xml:space="preserve">septiembre </w:t>
      </w:r>
      <w:r w:rsidRPr="005666F0">
        <w:rPr>
          <w:rFonts w:ascii="Arial" w:hAnsi="Arial"/>
          <w:sz w:val="20"/>
        </w:rPr>
        <w:t>del presente ejercicio refleja un saldo de 62.0 millones de pesos.</w:t>
      </w:r>
    </w:p>
    <w:p w14:paraId="1FB23292" w14:textId="77777777" w:rsidR="005666F0" w:rsidRPr="005666F0" w:rsidRDefault="005666F0" w:rsidP="005666F0">
      <w:pPr>
        <w:autoSpaceDE w:val="0"/>
        <w:autoSpaceDN w:val="0"/>
        <w:adjustRightInd w:val="0"/>
        <w:jc w:val="both"/>
        <w:rPr>
          <w:rFonts w:ascii="Arial" w:hAnsi="Arial"/>
          <w:sz w:val="20"/>
        </w:rPr>
      </w:pPr>
    </w:p>
    <w:p w14:paraId="124ACD34" w14:textId="241C88F9" w:rsidR="005666F0" w:rsidRPr="005666F0" w:rsidRDefault="00F26B8D" w:rsidP="005666F0">
      <w:pPr>
        <w:autoSpaceDE w:val="0"/>
        <w:autoSpaceDN w:val="0"/>
        <w:adjustRightInd w:val="0"/>
        <w:jc w:val="both"/>
        <w:rPr>
          <w:rFonts w:ascii="Arial" w:hAnsi="Arial"/>
          <w:sz w:val="20"/>
        </w:rPr>
      </w:pPr>
      <w:r w:rsidRPr="00F26B8D">
        <w:rPr>
          <w:noProof/>
        </w:rPr>
        <w:lastRenderedPageBreak/>
        <w:drawing>
          <wp:inline distT="0" distB="0" distL="0" distR="0" wp14:anchorId="2FA05CC4" wp14:editId="30240470">
            <wp:extent cx="6691630" cy="2184400"/>
            <wp:effectExtent l="0" t="0" r="0" b="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691630" cy="2184400"/>
                    </a:xfrm>
                    <a:prstGeom prst="rect">
                      <a:avLst/>
                    </a:prstGeom>
                    <a:noFill/>
                    <a:ln>
                      <a:noFill/>
                    </a:ln>
                  </pic:spPr>
                </pic:pic>
              </a:graphicData>
            </a:graphic>
          </wp:inline>
        </w:drawing>
      </w:r>
    </w:p>
    <w:p w14:paraId="5AAF0647" w14:textId="77777777" w:rsidR="005666F0" w:rsidRPr="005666F0" w:rsidRDefault="005666F0" w:rsidP="005666F0">
      <w:pPr>
        <w:autoSpaceDE w:val="0"/>
        <w:autoSpaceDN w:val="0"/>
        <w:adjustRightInd w:val="0"/>
        <w:jc w:val="both"/>
        <w:rPr>
          <w:rFonts w:ascii="Arial" w:hAnsi="Arial"/>
          <w:sz w:val="20"/>
        </w:rPr>
      </w:pPr>
    </w:p>
    <w:p w14:paraId="53B37BEB" w14:textId="77777777" w:rsidR="005666F0" w:rsidRPr="005666F0" w:rsidRDefault="005666F0" w:rsidP="005666F0">
      <w:pPr>
        <w:autoSpaceDE w:val="0"/>
        <w:autoSpaceDN w:val="0"/>
        <w:adjustRightInd w:val="0"/>
        <w:jc w:val="both"/>
        <w:rPr>
          <w:rFonts w:ascii="Arial" w:hAnsi="Arial"/>
          <w:sz w:val="20"/>
        </w:rPr>
      </w:pPr>
    </w:p>
    <w:p w14:paraId="27A5D8CA" w14:textId="77777777" w:rsidR="005666F0" w:rsidRPr="005666F0" w:rsidRDefault="005666F0" w:rsidP="005666F0">
      <w:pPr>
        <w:pStyle w:val="Subttulo"/>
      </w:pPr>
      <w:r w:rsidRPr="005666F0">
        <w:t>Bienes en concesionados o en comodato</w:t>
      </w:r>
    </w:p>
    <w:p w14:paraId="207A7EDF" w14:textId="77777777" w:rsidR="005666F0" w:rsidRPr="005666F0" w:rsidRDefault="005666F0" w:rsidP="005666F0">
      <w:pPr>
        <w:autoSpaceDE w:val="0"/>
        <w:autoSpaceDN w:val="0"/>
        <w:adjustRightInd w:val="0"/>
        <w:jc w:val="both"/>
        <w:rPr>
          <w:rFonts w:ascii="Arial" w:hAnsi="Arial"/>
          <w:b/>
          <w:i/>
          <w:sz w:val="20"/>
        </w:rPr>
      </w:pPr>
    </w:p>
    <w:p w14:paraId="1662016A" w14:textId="244FC2D5" w:rsidR="005666F0" w:rsidRPr="005666F0" w:rsidRDefault="005666F0" w:rsidP="005666F0">
      <w:pPr>
        <w:autoSpaceDE w:val="0"/>
        <w:autoSpaceDN w:val="0"/>
        <w:adjustRightInd w:val="0"/>
        <w:jc w:val="both"/>
        <w:rPr>
          <w:rFonts w:ascii="Arial" w:hAnsi="Arial"/>
          <w:sz w:val="20"/>
        </w:rPr>
      </w:pPr>
      <w:r w:rsidRPr="005666F0">
        <w:rPr>
          <w:rFonts w:ascii="Arial" w:hAnsi="Arial"/>
          <w:sz w:val="20"/>
        </w:rPr>
        <w:t xml:space="preserve">Los bienes en concesionados o en comodato al </w:t>
      </w:r>
      <w:r w:rsidR="008E371A">
        <w:rPr>
          <w:rFonts w:ascii="Arial" w:hAnsi="Arial"/>
          <w:sz w:val="20"/>
        </w:rPr>
        <w:t xml:space="preserve">30 de </w:t>
      </w:r>
      <w:r w:rsidR="003D6F63">
        <w:rPr>
          <w:rFonts w:ascii="Arial" w:hAnsi="Arial"/>
          <w:sz w:val="20"/>
        </w:rPr>
        <w:t xml:space="preserve">septiembre </w:t>
      </w:r>
      <w:r w:rsidRPr="005666F0">
        <w:rPr>
          <w:rFonts w:ascii="Arial" w:hAnsi="Arial"/>
          <w:sz w:val="20"/>
        </w:rPr>
        <w:t xml:space="preserve">de 2023, ascienden a 3.1 millones de pesos correspondiente a bienes en concesión o en comodato del 2011, integrado por vehículos y equipos de transporte. </w:t>
      </w:r>
    </w:p>
    <w:p w14:paraId="48DCEF29" w14:textId="77777777" w:rsidR="005666F0" w:rsidRPr="005666F0" w:rsidRDefault="005666F0" w:rsidP="005666F0">
      <w:pPr>
        <w:autoSpaceDE w:val="0"/>
        <w:autoSpaceDN w:val="0"/>
        <w:adjustRightInd w:val="0"/>
        <w:jc w:val="both"/>
        <w:rPr>
          <w:rFonts w:ascii="Arial" w:hAnsi="Arial"/>
          <w:sz w:val="20"/>
        </w:rPr>
      </w:pPr>
    </w:p>
    <w:p w14:paraId="5ECFE5D0" w14:textId="53C0A607" w:rsidR="005666F0" w:rsidRPr="005666F0" w:rsidRDefault="00F26B8D" w:rsidP="00164B5D">
      <w:pPr>
        <w:autoSpaceDE w:val="0"/>
        <w:autoSpaceDN w:val="0"/>
        <w:adjustRightInd w:val="0"/>
        <w:jc w:val="center"/>
        <w:rPr>
          <w:rFonts w:ascii="Arial" w:hAnsi="Arial"/>
          <w:sz w:val="20"/>
        </w:rPr>
      </w:pPr>
      <w:r w:rsidRPr="00F26B8D">
        <w:rPr>
          <w:noProof/>
        </w:rPr>
        <w:drawing>
          <wp:inline distT="0" distB="0" distL="0" distR="0" wp14:anchorId="54E68C84" wp14:editId="4CF13771">
            <wp:extent cx="6691630" cy="2020570"/>
            <wp:effectExtent l="0" t="0" r="0" b="0"/>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691630" cy="2020570"/>
                    </a:xfrm>
                    <a:prstGeom prst="rect">
                      <a:avLst/>
                    </a:prstGeom>
                    <a:noFill/>
                    <a:ln>
                      <a:noFill/>
                    </a:ln>
                  </pic:spPr>
                </pic:pic>
              </a:graphicData>
            </a:graphic>
          </wp:inline>
        </w:drawing>
      </w:r>
    </w:p>
    <w:p w14:paraId="68B0484F" w14:textId="77777777" w:rsidR="005666F0" w:rsidRPr="005666F0" w:rsidRDefault="005666F0" w:rsidP="005666F0">
      <w:pPr>
        <w:jc w:val="both"/>
        <w:outlineLvl w:val="0"/>
        <w:rPr>
          <w:rFonts w:ascii="Arial" w:hAnsi="Arial"/>
          <w:b/>
          <w:bCs/>
          <w:sz w:val="20"/>
        </w:rPr>
      </w:pPr>
    </w:p>
    <w:p w14:paraId="4DD2E02E" w14:textId="77777777" w:rsidR="005666F0" w:rsidRPr="005666F0" w:rsidRDefault="005666F0" w:rsidP="005666F0">
      <w:pPr>
        <w:jc w:val="both"/>
        <w:outlineLvl w:val="0"/>
        <w:rPr>
          <w:rFonts w:ascii="Arial" w:hAnsi="Arial"/>
          <w:b/>
          <w:bCs/>
          <w:sz w:val="20"/>
        </w:rPr>
      </w:pPr>
    </w:p>
    <w:p w14:paraId="2DEF2A9D" w14:textId="77777777" w:rsidR="005666F0" w:rsidRPr="005666F0" w:rsidRDefault="005666F0" w:rsidP="005666F0">
      <w:pPr>
        <w:pStyle w:val="Subttulo"/>
      </w:pPr>
      <w:r w:rsidRPr="00C05F5B">
        <w:t>Cuentas de orden presupuestario</w:t>
      </w:r>
    </w:p>
    <w:p w14:paraId="4B42A413" w14:textId="77777777" w:rsidR="005666F0" w:rsidRPr="005666F0" w:rsidRDefault="005666F0" w:rsidP="005666F0">
      <w:pPr>
        <w:jc w:val="both"/>
        <w:rPr>
          <w:rFonts w:ascii="Arial" w:eastAsia="Calibri" w:hAnsi="Arial" w:cs="Times New Roman"/>
          <w:b/>
          <w:bCs/>
          <w:caps/>
          <w:color w:val="B09A5B"/>
          <w:sz w:val="20"/>
        </w:rPr>
      </w:pPr>
    </w:p>
    <w:p w14:paraId="569D3AFA" w14:textId="77777777" w:rsidR="005666F0" w:rsidRPr="005666F0" w:rsidRDefault="005666F0" w:rsidP="00AB54E6">
      <w:pPr>
        <w:pStyle w:val="Subttulo"/>
      </w:pPr>
      <w:r w:rsidRPr="00663EA7">
        <w:t>Cuentas de ingresos</w:t>
      </w:r>
    </w:p>
    <w:p w14:paraId="68EC6CFF" w14:textId="77777777" w:rsidR="005666F0" w:rsidRPr="005666F0" w:rsidRDefault="005666F0" w:rsidP="005666F0">
      <w:pPr>
        <w:jc w:val="both"/>
        <w:rPr>
          <w:rFonts w:ascii="Arial" w:hAnsi="Arial"/>
          <w:bCs/>
          <w:sz w:val="20"/>
          <w:highlight w:val="yellow"/>
        </w:rPr>
      </w:pPr>
    </w:p>
    <w:p w14:paraId="511E6D38" w14:textId="77777777" w:rsidR="005666F0" w:rsidRPr="005666F0" w:rsidRDefault="005666F0" w:rsidP="005666F0">
      <w:pPr>
        <w:jc w:val="both"/>
        <w:outlineLvl w:val="0"/>
        <w:rPr>
          <w:rFonts w:ascii="Arial" w:hAnsi="Arial"/>
          <w:sz w:val="20"/>
        </w:rPr>
      </w:pPr>
      <w:r w:rsidRPr="005666F0">
        <w:rPr>
          <w:rFonts w:ascii="Arial" w:hAnsi="Arial"/>
          <w:sz w:val="20"/>
        </w:rPr>
        <w:t>Al inicio del ejercicio 2023, se aprobó un presupuesto de ingresos de 6 mil 680.6 millones de pesos, para las Instituciones Públicas de Seguridad Social.</w:t>
      </w:r>
    </w:p>
    <w:p w14:paraId="1750DD7B" w14:textId="77777777" w:rsidR="005666F0" w:rsidRPr="005666F0" w:rsidRDefault="005666F0" w:rsidP="005666F0">
      <w:pPr>
        <w:jc w:val="both"/>
        <w:outlineLvl w:val="0"/>
        <w:rPr>
          <w:rFonts w:ascii="Arial" w:hAnsi="Arial"/>
          <w:sz w:val="20"/>
          <w:highlight w:val="yellow"/>
        </w:rPr>
      </w:pPr>
    </w:p>
    <w:p w14:paraId="144D6CE3" w14:textId="57519A8C" w:rsidR="005666F0" w:rsidRPr="005666F0" w:rsidRDefault="005666F0" w:rsidP="005666F0">
      <w:pPr>
        <w:jc w:val="both"/>
        <w:outlineLvl w:val="0"/>
        <w:rPr>
          <w:rFonts w:ascii="Arial" w:hAnsi="Arial"/>
          <w:sz w:val="20"/>
          <w:highlight w:val="yellow"/>
        </w:rPr>
      </w:pPr>
      <w:r w:rsidRPr="005666F0">
        <w:rPr>
          <w:rFonts w:ascii="Arial" w:hAnsi="Arial"/>
          <w:sz w:val="20"/>
        </w:rPr>
        <w:t xml:space="preserve">Los ingresos recaudados durante el periodo del 1 de enero al </w:t>
      </w:r>
      <w:r w:rsidR="008E371A">
        <w:rPr>
          <w:rFonts w:ascii="Arial" w:hAnsi="Arial"/>
          <w:sz w:val="20"/>
        </w:rPr>
        <w:t xml:space="preserve">30 de </w:t>
      </w:r>
      <w:r w:rsidR="00EB75C4">
        <w:rPr>
          <w:rFonts w:ascii="Arial" w:hAnsi="Arial"/>
          <w:sz w:val="20"/>
        </w:rPr>
        <w:t xml:space="preserve">septiembre </w:t>
      </w:r>
      <w:r w:rsidRPr="005666F0">
        <w:rPr>
          <w:rFonts w:ascii="Arial" w:hAnsi="Arial"/>
          <w:sz w:val="20"/>
        </w:rPr>
        <w:t>de 2</w:t>
      </w:r>
      <w:r w:rsidR="00C05F5B">
        <w:rPr>
          <w:rFonts w:ascii="Arial" w:hAnsi="Arial"/>
          <w:sz w:val="20"/>
        </w:rPr>
        <w:t xml:space="preserve">023, ascendieron a cantidad de </w:t>
      </w:r>
      <w:r w:rsidR="00EB75C4">
        <w:rPr>
          <w:rFonts w:ascii="Arial" w:hAnsi="Arial"/>
          <w:sz w:val="20"/>
        </w:rPr>
        <w:t>3</w:t>
      </w:r>
      <w:r w:rsidRPr="005666F0">
        <w:rPr>
          <w:rFonts w:ascii="Arial" w:hAnsi="Arial"/>
          <w:sz w:val="20"/>
        </w:rPr>
        <w:t xml:space="preserve"> mil </w:t>
      </w:r>
      <w:r w:rsidR="00EB75C4">
        <w:rPr>
          <w:rFonts w:ascii="Arial" w:hAnsi="Arial"/>
          <w:sz w:val="20"/>
        </w:rPr>
        <w:t>797.1</w:t>
      </w:r>
      <w:r w:rsidRPr="005666F0">
        <w:rPr>
          <w:rFonts w:ascii="Arial" w:hAnsi="Arial"/>
          <w:sz w:val="20"/>
        </w:rPr>
        <w:t xml:space="preserve"> millones de pesos.</w:t>
      </w:r>
    </w:p>
    <w:p w14:paraId="7956F297" w14:textId="77777777" w:rsidR="005666F0" w:rsidRPr="005666F0" w:rsidRDefault="005666F0" w:rsidP="005666F0">
      <w:pPr>
        <w:jc w:val="both"/>
        <w:outlineLvl w:val="0"/>
        <w:rPr>
          <w:rFonts w:ascii="Arial" w:hAnsi="Arial"/>
          <w:b/>
          <w:bCs/>
          <w:sz w:val="20"/>
          <w:highlight w:val="yellow"/>
        </w:rPr>
      </w:pPr>
    </w:p>
    <w:p w14:paraId="17A5788E" w14:textId="5BA195BE" w:rsidR="005666F0" w:rsidRPr="005666F0" w:rsidRDefault="005666F0" w:rsidP="005666F0">
      <w:pPr>
        <w:jc w:val="both"/>
        <w:outlineLvl w:val="0"/>
        <w:rPr>
          <w:rFonts w:ascii="Arial" w:hAnsi="Arial"/>
          <w:sz w:val="20"/>
        </w:rPr>
      </w:pPr>
      <w:r w:rsidRPr="005666F0">
        <w:rPr>
          <w:rFonts w:ascii="Arial" w:hAnsi="Arial"/>
          <w:sz w:val="20"/>
        </w:rPr>
        <w:t xml:space="preserve">Los ingresos derivados de recursos provenientes de las ministraciones radicadas del Gobierno estatal, representó el </w:t>
      </w:r>
      <w:r w:rsidR="00EB75C4">
        <w:rPr>
          <w:rFonts w:ascii="Arial" w:hAnsi="Arial"/>
          <w:sz w:val="20"/>
        </w:rPr>
        <w:t>39.7</w:t>
      </w:r>
      <w:r w:rsidRPr="005666F0">
        <w:rPr>
          <w:rFonts w:ascii="Arial" w:hAnsi="Arial"/>
          <w:sz w:val="20"/>
        </w:rPr>
        <w:t xml:space="preserve"> % del total de los ingresos recaudados con un importe de </w:t>
      </w:r>
      <w:r w:rsidR="00EB75C4">
        <w:rPr>
          <w:rFonts w:ascii="Arial" w:hAnsi="Arial"/>
          <w:sz w:val="20"/>
        </w:rPr>
        <w:t>1 mil 506.4</w:t>
      </w:r>
      <w:r w:rsidR="00C05F5B">
        <w:rPr>
          <w:rFonts w:ascii="Arial" w:hAnsi="Arial"/>
          <w:sz w:val="20"/>
        </w:rPr>
        <w:t xml:space="preserve"> </w:t>
      </w:r>
      <w:r w:rsidRPr="005666F0">
        <w:rPr>
          <w:rFonts w:ascii="Arial" w:hAnsi="Arial"/>
          <w:sz w:val="20"/>
        </w:rPr>
        <w:t xml:space="preserve">millones de pesos, integrándose de </w:t>
      </w:r>
      <w:r w:rsidR="00EB75C4">
        <w:rPr>
          <w:rFonts w:ascii="Arial" w:hAnsi="Arial"/>
          <w:sz w:val="20"/>
        </w:rPr>
        <w:t>788.8</w:t>
      </w:r>
      <w:r w:rsidRPr="005666F0">
        <w:rPr>
          <w:rFonts w:ascii="Arial" w:hAnsi="Arial"/>
          <w:sz w:val="20"/>
        </w:rPr>
        <w:t xml:space="preserve"> millones de pesos por  participaciones, aportaciones, convenios, incentivos derivados de la colaboración fiscal y fondos distintos de aportaciones y de </w:t>
      </w:r>
      <w:r w:rsidR="00EB75C4">
        <w:rPr>
          <w:rFonts w:ascii="Arial" w:hAnsi="Arial"/>
          <w:sz w:val="20"/>
        </w:rPr>
        <w:t>717.6</w:t>
      </w:r>
      <w:r w:rsidRPr="005666F0">
        <w:rPr>
          <w:rFonts w:ascii="Arial" w:hAnsi="Arial"/>
          <w:sz w:val="20"/>
        </w:rPr>
        <w:t xml:space="preserve"> millones de pesos por concepto de transferencias, asignaciones, subsidios y subvenciones y pensiones y jubilaciones en diferentes fuentes de financiamiento con recursos del ejercicio, así como, el 5</w:t>
      </w:r>
      <w:r w:rsidR="00EB75C4">
        <w:rPr>
          <w:rFonts w:ascii="Arial" w:hAnsi="Arial"/>
          <w:sz w:val="20"/>
        </w:rPr>
        <w:t>4</w:t>
      </w:r>
      <w:r w:rsidRPr="005666F0">
        <w:rPr>
          <w:rFonts w:ascii="Arial" w:hAnsi="Arial"/>
          <w:sz w:val="20"/>
        </w:rPr>
        <w:t xml:space="preserve"> % de cuotas y aportaciones de seguridad social registradas por el ISSTECH con un importe de </w:t>
      </w:r>
      <w:r w:rsidR="00EB75C4">
        <w:rPr>
          <w:rFonts w:ascii="Arial" w:hAnsi="Arial"/>
          <w:sz w:val="20"/>
        </w:rPr>
        <w:t>2</w:t>
      </w:r>
      <w:r w:rsidR="00C05F5B">
        <w:rPr>
          <w:rFonts w:ascii="Arial" w:hAnsi="Arial"/>
          <w:sz w:val="20"/>
        </w:rPr>
        <w:t xml:space="preserve"> mil </w:t>
      </w:r>
      <w:r w:rsidR="00EB75C4">
        <w:rPr>
          <w:rFonts w:ascii="Arial" w:hAnsi="Arial"/>
          <w:sz w:val="20"/>
        </w:rPr>
        <w:t>51.1</w:t>
      </w:r>
      <w:r w:rsidRPr="005666F0">
        <w:rPr>
          <w:rFonts w:ascii="Arial" w:hAnsi="Arial"/>
          <w:sz w:val="20"/>
        </w:rPr>
        <w:t xml:space="preserve"> millones de pesos, entre los rubros más relevantes.</w:t>
      </w:r>
    </w:p>
    <w:p w14:paraId="420E9011" w14:textId="77777777" w:rsidR="005666F0" w:rsidRPr="005666F0" w:rsidRDefault="005666F0" w:rsidP="005666F0">
      <w:pPr>
        <w:jc w:val="both"/>
        <w:outlineLvl w:val="0"/>
        <w:rPr>
          <w:rFonts w:ascii="Arial" w:hAnsi="Arial"/>
          <w:sz w:val="20"/>
        </w:rPr>
      </w:pPr>
    </w:p>
    <w:p w14:paraId="43B9A3A8" w14:textId="352EE20D" w:rsidR="005666F0" w:rsidRPr="005666F0" w:rsidRDefault="005666F0" w:rsidP="005666F0">
      <w:pPr>
        <w:jc w:val="both"/>
        <w:outlineLvl w:val="0"/>
        <w:rPr>
          <w:rFonts w:ascii="Arial" w:hAnsi="Arial"/>
          <w:sz w:val="20"/>
        </w:rPr>
      </w:pPr>
      <w:r w:rsidRPr="005666F0">
        <w:rPr>
          <w:rFonts w:ascii="Arial" w:hAnsi="Arial"/>
          <w:sz w:val="20"/>
        </w:rPr>
        <w:t xml:space="preserve">A continuación, se presenta el estado analítico de ingresos presupuestarios de acuerdo de la clasificación indicada en las notas de memoria de los estados financieros emitidos por el CONAC.       </w:t>
      </w:r>
    </w:p>
    <w:p w14:paraId="43C848CF" w14:textId="77777777" w:rsidR="005666F0" w:rsidRPr="005666F0" w:rsidRDefault="005666F0" w:rsidP="005666F0">
      <w:pPr>
        <w:jc w:val="both"/>
        <w:rPr>
          <w:rFonts w:ascii="Arial" w:hAnsi="Arial"/>
          <w:sz w:val="20"/>
        </w:rPr>
      </w:pPr>
    </w:p>
    <w:p w14:paraId="759E12CD" w14:textId="3D638566" w:rsidR="005666F0" w:rsidRPr="005666F0" w:rsidRDefault="00F26B8D" w:rsidP="005666F0">
      <w:pPr>
        <w:jc w:val="both"/>
        <w:rPr>
          <w:rFonts w:ascii="Arial" w:hAnsi="Arial"/>
          <w:sz w:val="20"/>
        </w:rPr>
      </w:pPr>
      <w:r w:rsidRPr="00F26B8D">
        <w:rPr>
          <w:noProof/>
        </w:rPr>
        <w:lastRenderedPageBreak/>
        <w:drawing>
          <wp:inline distT="0" distB="0" distL="0" distR="0" wp14:anchorId="340224BB" wp14:editId="45B94FF2">
            <wp:extent cx="6691630" cy="3158490"/>
            <wp:effectExtent l="0" t="0" r="0" b="0"/>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691630" cy="3158490"/>
                    </a:xfrm>
                    <a:prstGeom prst="rect">
                      <a:avLst/>
                    </a:prstGeom>
                    <a:noFill/>
                    <a:ln>
                      <a:noFill/>
                    </a:ln>
                  </pic:spPr>
                </pic:pic>
              </a:graphicData>
            </a:graphic>
          </wp:inline>
        </w:drawing>
      </w:r>
    </w:p>
    <w:p w14:paraId="6DD7B53A" w14:textId="473648A0" w:rsidR="008C652E" w:rsidRDefault="008C652E" w:rsidP="00AB54E6">
      <w:pPr>
        <w:pStyle w:val="Subttulo"/>
      </w:pPr>
    </w:p>
    <w:p w14:paraId="088CFED1" w14:textId="77777777" w:rsidR="003A6B56" w:rsidRDefault="003A6B56" w:rsidP="00AB54E6">
      <w:pPr>
        <w:pStyle w:val="Subttulo"/>
      </w:pPr>
    </w:p>
    <w:p w14:paraId="4C442800" w14:textId="77777777" w:rsidR="005666F0" w:rsidRPr="005666F0" w:rsidRDefault="005666F0" w:rsidP="00AB54E6">
      <w:pPr>
        <w:pStyle w:val="Subttulo"/>
      </w:pPr>
      <w:r w:rsidRPr="00663EA7">
        <w:t>Cuentas de egresos</w:t>
      </w:r>
    </w:p>
    <w:p w14:paraId="6DBF66A2" w14:textId="77777777" w:rsidR="005666F0" w:rsidRPr="005666F0" w:rsidRDefault="005666F0" w:rsidP="005666F0">
      <w:pPr>
        <w:jc w:val="both"/>
        <w:outlineLvl w:val="0"/>
        <w:rPr>
          <w:rFonts w:ascii="Arial" w:hAnsi="Arial"/>
          <w:sz w:val="20"/>
        </w:rPr>
      </w:pPr>
    </w:p>
    <w:p w14:paraId="62D13E80" w14:textId="69DB2E49" w:rsidR="005666F0" w:rsidRPr="005666F0" w:rsidRDefault="005666F0" w:rsidP="005666F0">
      <w:pPr>
        <w:jc w:val="both"/>
        <w:outlineLvl w:val="0"/>
        <w:rPr>
          <w:rFonts w:ascii="Arial" w:hAnsi="Arial"/>
          <w:sz w:val="20"/>
        </w:rPr>
      </w:pPr>
      <w:r w:rsidRPr="005666F0">
        <w:rPr>
          <w:rFonts w:ascii="Arial" w:hAnsi="Arial"/>
          <w:sz w:val="20"/>
        </w:rPr>
        <w:t xml:space="preserve">El estado del ejercicio del presupuesto de egresos, refleja al </w:t>
      </w:r>
      <w:r w:rsidR="008E371A">
        <w:rPr>
          <w:rFonts w:ascii="Arial" w:hAnsi="Arial"/>
          <w:sz w:val="20"/>
        </w:rPr>
        <w:t xml:space="preserve">30 de </w:t>
      </w:r>
      <w:r w:rsidR="00663EA7">
        <w:rPr>
          <w:rFonts w:ascii="Arial" w:hAnsi="Arial"/>
          <w:sz w:val="20"/>
        </w:rPr>
        <w:t xml:space="preserve">septiembre </w:t>
      </w:r>
      <w:r w:rsidRPr="005666F0">
        <w:rPr>
          <w:rFonts w:ascii="Arial" w:hAnsi="Arial"/>
          <w:sz w:val="20"/>
        </w:rPr>
        <w:t>del ejercicio 2023, el presupuesto aprobado anual por un monto de 6 mil 680.6 millones de pesos, al cierre del periodo que se informa.</w:t>
      </w:r>
    </w:p>
    <w:p w14:paraId="105792D7" w14:textId="77777777" w:rsidR="005666F0" w:rsidRPr="005666F0" w:rsidRDefault="005666F0" w:rsidP="005666F0">
      <w:pPr>
        <w:jc w:val="both"/>
        <w:outlineLvl w:val="0"/>
        <w:rPr>
          <w:rFonts w:ascii="Arial" w:hAnsi="Arial"/>
          <w:b/>
          <w:bCs/>
          <w:sz w:val="20"/>
        </w:rPr>
      </w:pPr>
    </w:p>
    <w:p w14:paraId="0AA8E985" w14:textId="38E98F94" w:rsidR="005666F0" w:rsidRPr="005666F0" w:rsidRDefault="005666F0" w:rsidP="005666F0">
      <w:pPr>
        <w:jc w:val="both"/>
        <w:outlineLvl w:val="0"/>
        <w:rPr>
          <w:rFonts w:ascii="Arial" w:hAnsi="Arial"/>
          <w:color w:val="FF0000"/>
          <w:sz w:val="20"/>
        </w:rPr>
      </w:pPr>
      <w:r w:rsidRPr="005666F0">
        <w:rPr>
          <w:rFonts w:ascii="Arial" w:hAnsi="Arial"/>
          <w:sz w:val="20"/>
        </w:rPr>
        <w:t xml:space="preserve">El presupuesto devengado a la fecha que se informa fue de </w:t>
      </w:r>
      <w:r w:rsidR="00663EA7">
        <w:rPr>
          <w:rFonts w:ascii="Arial" w:hAnsi="Arial"/>
          <w:sz w:val="20"/>
        </w:rPr>
        <w:t>4</w:t>
      </w:r>
      <w:r w:rsidR="006A246D">
        <w:rPr>
          <w:rFonts w:ascii="Arial" w:hAnsi="Arial"/>
          <w:sz w:val="20"/>
        </w:rPr>
        <w:t xml:space="preserve"> </w:t>
      </w:r>
      <w:r w:rsidRPr="005666F0">
        <w:rPr>
          <w:rFonts w:ascii="Arial" w:hAnsi="Arial"/>
          <w:sz w:val="20"/>
        </w:rPr>
        <w:t xml:space="preserve">mil </w:t>
      </w:r>
      <w:r w:rsidR="006A246D">
        <w:rPr>
          <w:rFonts w:ascii="Arial" w:hAnsi="Arial"/>
          <w:sz w:val="20"/>
        </w:rPr>
        <w:t>3.</w:t>
      </w:r>
      <w:r w:rsidR="00663EA7">
        <w:rPr>
          <w:rFonts w:ascii="Arial" w:hAnsi="Arial"/>
          <w:sz w:val="20"/>
        </w:rPr>
        <w:t>1</w:t>
      </w:r>
      <w:r w:rsidRPr="005666F0">
        <w:rPr>
          <w:rFonts w:ascii="Arial" w:hAnsi="Arial"/>
          <w:sz w:val="20"/>
        </w:rPr>
        <w:t xml:space="preserve"> millones de pesos, se compone con recursos del ejercicio; de los cuales se aplicaron </w:t>
      </w:r>
      <w:r w:rsidR="00663EA7">
        <w:rPr>
          <w:rFonts w:ascii="Arial" w:hAnsi="Arial"/>
          <w:sz w:val="20"/>
        </w:rPr>
        <w:t>2</w:t>
      </w:r>
      <w:r w:rsidR="006A246D">
        <w:rPr>
          <w:rFonts w:ascii="Arial" w:hAnsi="Arial"/>
          <w:sz w:val="20"/>
        </w:rPr>
        <w:t xml:space="preserve"> mil </w:t>
      </w:r>
      <w:r w:rsidR="00663EA7">
        <w:rPr>
          <w:rFonts w:ascii="Arial" w:hAnsi="Arial"/>
          <w:sz w:val="20"/>
        </w:rPr>
        <w:t>762.5</w:t>
      </w:r>
      <w:r w:rsidRPr="005666F0">
        <w:rPr>
          <w:rFonts w:ascii="Arial" w:hAnsi="Arial"/>
          <w:sz w:val="20"/>
        </w:rPr>
        <w:t xml:space="preserve"> millones de pesos en transferencias, asignaciones, subsidios y otras ayudas equivalente al </w:t>
      </w:r>
      <w:r w:rsidR="00663EA7">
        <w:rPr>
          <w:rFonts w:ascii="Arial" w:hAnsi="Arial"/>
          <w:sz w:val="20"/>
        </w:rPr>
        <w:t>69</w:t>
      </w:r>
      <w:r w:rsidR="006A246D">
        <w:rPr>
          <w:rFonts w:ascii="Arial" w:hAnsi="Arial"/>
          <w:sz w:val="20"/>
        </w:rPr>
        <w:t xml:space="preserve"> % del devengo total; así como </w:t>
      </w:r>
      <w:r w:rsidR="00663EA7">
        <w:rPr>
          <w:rFonts w:ascii="Arial" w:hAnsi="Arial"/>
          <w:sz w:val="20"/>
        </w:rPr>
        <w:t>467.5</w:t>
      </w:r>
      <w:r w:rsidRPr="005666F0">
        <w:rPr>
          <w:rFonts w:ascii="Arial" w:hAnsi="Arial"/>
          <w:sz w:val="20"/>
        </w:rPr>
        <w:t xml:space="preserve"> millones de pesos a servicios personales equivalente al </w:t>
      </w:r>
      <w:r w:rsidR="006A246D">
        <w:rPr>
          <w:rFonts w:ascii="Arial" w:hAnsi="Arial"/>
          <w:sz w:val="20"/>
        </w:rPr>
        <w:t>11.</w:t>
      </w:r>
      <w:r w:rsidR="00663EA7">
        <w:rPr>
          <w:rFonts w:ascii="Arial" w:hAnsi="Arial"/>
          <w:sz w:val="20"/>
        </w:rPr>
        <w:t>7</w:t>
      </w:r>
      <w:r w:rsidRPr="005666F0">
        <w:rPr>
          <w:rFonts w:ascii="Arial" w:hAnsi="Arial"/>
          <w:sz w:val="20"/>
        </w:rPr>
        <w:t xml:space="preserve"> % del devengo total; la cifra de </w:t>
      </w:r>
      <w:r w:rsidR="00663EA7">
        <w:rPr>
          <w:rFonts w:ascii="Arial" w:hAnsi="Arial"/>
          <w:sz w:val="20"/>
        </w:rPr>
        <w:t>305.2</w:t>
      </w:r>
      <w:r w:rsidRPr="005666F0">
        <w:rPr>
          <w:rFonts w:ascii="Arial" w:hAnsi="Arial"/>
          <w:sz w:val="20"/>
        </w:rPr>
        <w:t xml:space="preserve"> millones de pesos por concepto de materiales y suministros, representando el </w:t>
      </w:r>
      <w:r w:rsidR="00663EA7">
        <w:rPr>
          <w:rFonts w:ascii="Arial" w:hAnsi="Arial"/>
          <w:sz w:val="20"/>
        </w:rPr>
        <w:t>7.6</w:t>
      </w:r>
      <w:r w:rsidR="006A246D">
        <w:rPr>
          <w:rFonts w:ascii="Arial" w:hAnsi="Arial"/>
          <w:sz w:val="20"/>
        </w:rPr>
        <w:t xml:space="preserve"> </w:t>
      </w:r>
      <w:r w:rsidRPr="005666F0">
        <w:rPr>
          <w:rFonts w:ascii="Arial" w:hAnsi="Arial"/>
          <w:sz w:val="20"/>
        </w:rPr>
        <w:t xml:space="preserve">% del devengado total, así como </w:t>
      </w:r>
      <w:r w:rsidR="00663EA7">
        <w:rPr>
          <w:rFonts w:ascii="Arial" w:hAnsi="Arial"/>
          <w:sz w:val="20"/>
        </w:rPr>
        <w:t>252.5</w:t>
      </w:r>
      <w:r w:rsidRPr="005666F0">
        <w:rPr>
          <w:rFonts w:ascii="Arial" w:hAnsi="Arial"/>
          <w:sz w:val="20"/>
        </w:rPr>
        <w:t xml:space="preserve"> millones de pesos de inversiones financieras y otras provisiones, representando el </w:t>
      </w:r>
      <w:r w:rsidR="00663EA7">
        <w:rPr>
          <w:rFonts w:ascii="Arial" w:hAnsi="Arial"/>
          <w:sz w:val="20"/>
        </w:rPr>
        <w:t>6.3</w:t>
      </w:r>
      <w:r w:rsidRPr="005666F0">
        <w:rPr>
          <w:rFonts w:ascii="Arial" w:hAnsi="Arial"/>
          <w:sz w:val="20"/>
        </w:rPr>
        <w:t xml:space="preserve"> % del devengado total, entre los rubros más sobresalientes.</w:t>
      </w:r>
    </w:p>
    <w:p w14:paraId="0D135BA0" w14:textId="77777777" w:rsidR="005666F0" w:rsidRPr="005666F0" w:rsidRDefault="005666F0" w:rsidP="005666F0">
      <w:pPr>
        <w:jc w:val="both"/>
        <w:outlineLvl w:val="0"/>
        <w:rPr>
          <w:rFonts w:ascii="Arial" w:hAnsi="Arial"/>
          <w:b/>
          <w:bCs/>
          <w:sz w:val="20"/>
        </w:rPr>
      </w:pPr>
    </w:p>
    <w:p w14:paraId="3AAEC777" w14:textId="4845D98D" w:rsidR="005666F0" w:rsidRPr="005666F0" w:rsidRDefault="00F26B8D" w:rsidP="005666F0">
      <w:pPr>
        <w:jc w:val="both"/>
        <w:outlineLvl w:val="0"/>
        <w:rPr>
          <w:rFonts w:ascii="Arial" w:hAnsi="Arial"/>
          <w:b/>
          <w:bCs/>
          <w:sz w:val="20"/>
        </w:rPr>
      </w:pPr>
      <w:r w:rsidRPr="00F26B8D">
        <w:rPr>
          <w:noProof/>
        </w:rPr>
        <w:drawing>
          <wp:inline distT="0" distB="0" distL="0" distR="0" wp14:anchorId="04CB648C" wp14:editId="637C2345">
            <wp:extent cx="6691630" cy="2994660"/>
            <wp:effectExtent l="0" t="0" r="0" b="0"/>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691630" cy="2994660"/>
                    </a:xfrm>
                    <a:prstGeom prst="rect">
                      <a:avLst/>
                    </a:prstGeom>
                    <a:noFill/>
                    <a:ln>
                      <a:noFill/>
                    </a:ln>
                  </pic:spPr>
                </pic:pic>
              </a:graphicData>
            </a:graphic>
          </wp:inline>
        </w:drawing>
      </w:r>
    </w:p>
    <w:p w14:paraId="5E26FEDD" w14:textId="77777777" w:rsidR="005666F0" w:rsidRPr="005666F0" w:rsidRDefault="005666F0" w:rsidP="005666F0">
      <w:pPr>
        <w:jc w:val="both"/>
        <w:rPr>
          <w:rFonts w:ascii="Arial" w:hAnsi="Arial"/>
          <w:b/>
          <w:bCs/>
          <w:caps/>
          <w:color w:val="B09A5B"/>
          <w:sz w:val="20"/>
          <w:u w:val="single"/>
        </w:rPr>
      </w:pPr>
    </w:p>
    <w:p w14:paraId="3DB27F16" w14:textId="77777777" w:rsidR="006A246D" w:rsidRDefault="006A246D" w:rsidP="00AB54E6">
      <w:pPr>
        <w:pStyle w:val="Subttulo"/>
        <w:rPr>
          <w:rFonts w:eastAsiaTheme="minorHAnsi" w:cstheme="minorBidi"/>
          <w:caps/>
          <w:color w:val="B09A5B"/>
          <w:szCs w:val="22"/>
          <w:u w:val="single"/>
          <w:lang w:val="es-MX" w:eastAsia="en-US"/>
        </w:rPr>
      </w:pPr>
      <w:bookmarkStart w:id="4" w:name="_Hlk125467774"/>
    </w:p>
    <w:p w14:paraId="0C602784" w14:textId="77777777" w:rsidR="003A6B56" w:rsidRDefault="003A6B56">
      <w:pPr>
        <w:spacing w:after="160" w:line="259" w:lineRule="auto"/>
        <w:rPr>
          <w:rFonts w:ascii="Arial" w:eastAsia="Calibri" w:hAnsi="Arial" w:cs="Arial"/>
          <w:b/>
          <w:bCs/>
          <w:sz w:val="20"/>
          <w:szCs w:val="20"/>
          <w:lang w:val="es-ES" w:eastAsia="es-ES"/>
        </w:rPr>
      </w:pPr>
      <w:r>
        <w:br w:type="page"/>
      </w:r>
    </w:p>
    <w:p w14:paraId="50398D02" w14:textId="5B5FFC55" w:rsidR="005666F0" w:rsidRPr="005666F0" w:rsidRDefault="005666F0" w:rsidP="00AB54E6">
      <w:pPr>
        <w:pStyle w:val="Subttulo"/>
      </w:pPr>
      <w:r w:rsidRPr="005666F0">
        <w:lastRenderedPageBreak/>
        <w:t>Razones financieras</w:t>
      </w:r>
    </w:p>
    <w:p w14:paraId="4AE369AE" w14:textId="77777777" w:rsidR="005666F0" w:rsidRPr="005666F0" w:rsidRDefault="005666F0" w:rsidP="005666F0">
      <w:pPr>
        <w:tabs>
          <w:tab w:val="left" w:pos="5280"/>
        </w:tabs>
        <w:jc w:val="both"/>
        <w:rPr>
          <w:rFonts w:ascii="Arial" w:hAnsi="Arial" w:cs="Arial"/>
          <w:sz w:val="20"/>
          <w:szCs w:val="20"/>
        </w:rPr>
      </w:pPr>
    </w:p>
    <w:bookmarkEnd w:id="4"/>
    <w:p w14:paraId="115A1DE4" w14:textId="55B1F1FD" w:rsidR="005666F0" w:rsidRPr="005666F0" w:rsidRDefault="005666F0" w:rsidP="005666F0">
      <w:pPr>
        <w:autoSpaceDE w:val="0"/>
        <w:autoSpaceDN w:val="0"/>
        <w:adjustRightInd w:val="0"/>
        <w:jc w:val="both"/>
        <w:outlineLvl w:val="0"/>
        <w:rPr>
          <w:rFonts w:ascii="Arial" w:hAnsi="Arial"/>
          <w:sz w:val="20"/>
        </w:rPr>
      </w:pPr>
      <w:r w:rsidRPr="005666F0">
        <w:rPr>
          <w:rFonts w:ascii="Arial" w:hAnsi="Arial"/>
          <w:sz w:val="20"/>
        </w:rPr>
        <w:t xml:space="preserve">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 A los resultados obtenidos al </w:t>
      </w:r>
      <w:r w:rsidR="008E371A">
        <w:rPr>
          <w:rFonts w:ascii="Arial" w:hAnsi="Arial"/>
          <w:sz w:val="20"/>
        </w:rPr>
        <w:t xml:space="preserve">30 de </w:t>
      </w:r>
      <w:r w:rsidR="00C46D5F">
        <w:rPr>
          <w:rFonts w:ascii="Arial" w:hAnsi="Arial"/>
          <w:sz w:val="20"/>
        </w:rPr>
        <w:t xml:space="preserve">septiembre </w:t>
      </w:r>
      <w:r w:rsidRPr="005666F0">
        <w:rPr>
          <w:rFonts w:ascii="Arial" w:hAnsi="Arial"/>
          <w:sz w:val="20"/>
        </w:rPr>
        <w:t>del ejercicio 2023, se aplicaron las siguientes razones financieras:</w:t>
      </w:r>
    </w:p>
    <w:p w14:paraId="493979F6" w14:textId="77777777" w:rsidR="005666F0" w:rsidRPr="005666F0" w:rsidRDefault="005666F0" w:rsidP="005666F0">
      <w:pPr>
        <w:autoSpaceDE w:val="0"/>
        <w:autoSpaceDN w:val="0"/>
        <w:adjustRightInd w:val="0"/>
        <w:jc w:val="both"/>
        <w:outlineLvl w:val="0"/>
        <w:rPr>
          <w:rFonts w:ascii="Arial" w:hAnsi="Arial"/>
          <w:bCs/>
          <w:sz w:val="20"/>
        </w:rPr>
      </w:pPr>
    </w:p>
    <w:p w14:paraId="3D08ACCE" w14:textId="54EF211C" w:rsidR="005666F0" w:rsidRPr="005666F0" w:rsidRDefault="00697BF5" w:rsidP="005666F0">
      <w:pPr>
        <w:autoSpaceDE w:val="0"/>
        <w:autoSpaceDN w:val="0"/>
        <w:adjustRightInd w:val="0"/>
        <w:jc w:val="center"/>
        <w:outlineLvl w:val="0"/>
        <w:rPr>
          <w:rFonts w:ascii="Arial" w:hAnsi="Arial"/>
          <w:b/>
          <w:bCs/>
          <w:sz w:val="20"/>
        </w:rPr>
      </w:pPr>
      <w:r w:rsidRPr="00697BF5">
        <w:rPr>
          <w:noProof/>
        </w:rPr>
        <w:drawing>
          <wp:inline distT="0" distB="0" distL="0" distR="0" wp14:anchorId="7682B77A" wp14:editId="7266517A">
            <wp:extent cx="6691630" cy="2517140"/>
            <wp:effectExtent l="0" t="0" r="0" b="0"/>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691630" cy="2517140"/>
                    </a:xfrm>
                    <a:prstGeom prst="rect">
                      <a:avLst/>
                    </a:prstGeom>
                    <a:noFill/>
                    <a:ln>
                      <a:noFill/>
                    </a:ln>
                  </pic:spPr>
                </pic:pic>
              </a:graphicData>
            </a:graphic>
          </wp:inline>
        </w:drawing>
      </w:r>
    </w:p>
    <w:p w14:paraId="10DA3DE5" w14:textId="08F8659F" w:rsidR="005666F0" w:rsidRDefault="005666F0" w:rsidP="005666F0">
      <w:pPr>
        <w:autoSpaceDE w:val="0"/>
        <w:autoSpaceDN w:val="0"/>
        <w:adjustRightInd w:val="0"/>
        <w:jc w:val="both"/>
        <w:outlineLvl w:val="0"/>
        <w:rPr>
          <w:rFonts w:ascii="Arial" w:hAnsi="Arial"/>
          <w:bCs/>
          <w:sz w:val="20"/>
        </w:rPr>
      </w:pPr>
    </w:p>
    <w:p w14:paraId="3C5F3A56" w14:textId="77777777" w:rsidR="003A6B56" w:rsidRPr="005666F0" w:rsidRDefault="003A6B56" w:rsidP="005666F0">
      <w:pPr>
        <w:autoSpaceDE w:val="0"/>
        <w:autoSpaceDN w:val="0"/>
        <w:adjustRightInd w:val="0"/>
        <w:jc w:val="both"/>
        <w:outlineLvl w:val="0"/>
        <w:rPr>
          <w:rFonts w:ascii="Arial" w:hAnsi="Arial"/>
          <w:bCs/>
          <w:sz w:val="20"/>
        </w:rPr>
      </w:pPr>
    </w:p>
    <w:p w14:paraId="1F85329D" w14:textId="47530BF4" w:rsidR="005666F0" w:rsidRPr="005666F0" w:rsidRDefault="005666F0" w:rsidP="005666F0">
      <w:pPr>
        <w:autoSpaceDE w:val="0"/>
        <w:autoSpaceDN w:val="0"/>
        <w:adjustRightInd w:val="0"/>
        <w:jc w:val="both"/>
        <w:outlineLvl w:val="0"/>
        <w:rPr>
          <w:rFonts w:ascii="Arial" w:hAnsi="Arial"/>
          <w:sz w:val="20"/>
        </w:rPr>
      </w:pPr>
      <w:r w:rsidRPr="005666F0">
        <w:rPr>
          <w:rFonts w:ascii="Arial" w:hAnsi="Arial"/>
          <w:sz w:val="20"/>
        </w:rPr>
        <w:t>Los estados financieros muestran un resultado de 1.</w:t>
      </w:r>
      <w:r w:rsidR="00C46D5F">
        <w:rPr>
          <w:rFonts w:ascii="Arial" w:hAnsi="Arial"/>
          <w:sz w:val="20"/>
        </w:rPr>
        <w:t>5</w:t>
      </w:r>
      <w:r w:rsidRPr="005666F0">
        <w:rPr>
          <w:rFonts w:ascii="Arial" w:hAnsi="Arial"/>
          <w:sz w:val="20"/>
        </w:rPr>
        <w:t xml:space="preserve"> peso de </w:t>
      </w:r>
      <w:r w:rsidRPr="005666F0">
        <w:rPr>
          <w:rFonts w:ascii="Arial" w:hAnsi="Arial"/>
          <w:b/>
          <w:sz w:val="20"/>
        </w:rPr>
        <w:t>liquidez y disponibilidad inmediata</w:t>
      </w:r>
      <w:r w:rsidRPr="005666F0">
        <w:rPr>
          <w:rFonts w:ascii="Arial" w:hAnsi="Arial"/>
          <w:sz w:val="20"/>
        </w:rPr>
        <w:t xml:space="preserve"> para hacer frente a cada peso de los compromisos a corto plazo. </w:t>
      </w:r>
    </w:p>
    <w:p w14:paraId="53F38242" w14:textId="77777777" w:rsidR="005666F0" w:rsidRPr="005666F0" w:rsidRDefault="005666F0" w:rsidP="005666F0">
      <w:pPr>
        <w:autoSpaceDE w:val="0"/>
        <w:autoSpaceDN w:val="0"/>
        <w:adjustRightInd w:val="0"/>
        <w:jc w:val="both"/>
        <w:outlineLvl w:val="0"/>
        <w:rPr>
          <w:rFonts w:ascii="Arial" w:hAnsi="Arial"/>
          <w:sz w:val="20"/>
        </w:rPr>
      </w:pPr>
    </w:p>
    <w:p w14:paraId="3FD8F3EB" w14:textId="558BEC14" w:rsidR="005666F0" w:rsidRPr="005666F0" w:rsidRDefault="005666F0" w:rsidP="005666F0">
      <w:pPr>
        <w:autoSpaceDE w:val="0"/>
        <w:autoSpaceDN w:val="0"/>
        <w:adjustRightInd w:val="0"/>
        <w:jc w:val="both"/>
        <w:outlineLvl w:val="0"/>
        <w:rPr>
          <w:rFonts w:ascii="Arial" w:hAnsi="Arial"/>
          <w:sz w:val="20"/>
        </w:rPr>
      </w:pPr>
      <w:r w:rsidRPr="005666F0">
        <w:rPr>
          <w:rFonts w:ascii="Arial" w:hAnsi="Arial"/>
          <w:sz w:val="20"/>
        </w:rPr>
        <w:t xml:space="preserve">La razón de </w:t>
      </w:r>
      <w:r w:rsidRPr="005666F0">
        <w:rPr>
          <w:rFonts w:ascii="Arial" w:hAnsi="Arial"/>
          <w:b/>
          <w:sz w:val="20"/>
        </w:rPr>
        <w:t>solvencia</w:t>
      </w:r>
      <w:r w:rsidRPr="005666F0">
        <w:rPr>
          <w:rFonts w:ascii="Arial" w:hAnsi="Arial"/>
          <w:sz w:val="20"/>
        </w:rPr>
        <w:t xml:space="preserve"> muestra que las entidades cuentan con 1.</w:t>
      </w:r>
      <w:r w:rsidR="00C46D5F">
        <w:rPr>
          <w:rFonts w:ascii="Arial" w:hAnsi="Arial"/>
          <w:sz w:val="20"/>
        </w:rPr>
        <w:t>5</w:t>
      </w:r>
      <w:r w:rsidRPr="005666F0">
        <w:rPr>
          <w:rFonts w:ascii="Arial" w:hAnsi="Arial"/>
          <w:sz w:val="20"/>
        </w:rPr>
        <w:t xml:space="preserve"> peso para cubrir cada peso que debe por sus compromisos a corto plazo. </w:t>
      </w:r>
    </w:p>
    <w:p w14:paraId="01126554" w14:textId="77777777" w:rsidR="005666F0" w:rsidRPr="005666F0" w:rsidRDefault="005666F0" w:rsidP="005666F0">
      <w:pPr>
        <w:autoSpaceDE w:val="0"/>
        <w:autoSpaceDN w:val="0"/>
        <w:adjustRightInd w:val="0"/>
        <w:jc w:val="both"/>
        <w:outlineLvl w:val="0"/>
        <w:rPr>
          <w:rFonts w:ascii="Arial" w:hAnsi="Arial"/>
          <w:sz w:val="20"/>
        </w:rPr>
      </w:pPr>
    </w:p>
    <w:p w14:paraId="39C5EAA8" w14:textId="4A61ABE5" w:rsidR="005666F0" w:rsidRPr="005666F0" w:rsidRDefault="005666F0" w:rsidP="005666F0">
      <w:pPr>
        <w:autoSpaceDE w:val="0"/>
        <w:autoSpaceDN w:val="0"/>
        <w:adjustRightInd w:val="0"/>
        <w:jc w:val="both"/>
        <w:outlineLvl w:val="0"/>
        <w:rPr>
          <w:rFonts w:ascii="Arial" w:hAnsi="Arial"/>
          <w:sz w:val="20"/>
        </w:rPr>
      </w:pPr>
      <w:r w:rsidRPr="005666F0">
        <w:rPr>
          <w:rFonts w:ascii="Arial" w:hAnsi="Arial"/>
          <w:sz w:val="20"/>
        </w:rPr>
        <w:t>La</w:t>
      </w:r>
      <w:r w:rsidRPr="005666F0">
        <w:rPr>
          <w:rFonts w:ascii="Arial" w:hAnsi="Arial"/>
          <w:b/>
          <w:sz w:val="20"/>
        </w:rPr>
        <w:t xml:space="preserve"> prueba del ácido</w:t>
      </w:r>
      <w:r w:rsidRPr="005666F0">
        <w:rPr>
          <w:rFonts w:ascii="Arial" w:hAnsi="Arial"/>
          <w:sz w:val="20"/>
        </w:rPr>
        <w:t xml:space="preserve"> indica que las entidades cuentan con 1.</w:t>
      </w:r>
      <w:r w:rsidR="00C46D5F">
        <w:rPr>
          <w:rFonts w:ascii="Arial" w:hAnsi="Arial"/>
          <w:sz w:val="20"/>
        </w:rPr>
        <w:t>5</w:t>
      </w:r>
      <w:r w:rsidRPr="005666F0">
        <w:rPr>
          <w:rFonts w:ascii="Arial" w:hAnsi="Arial"/>
          <w:sz w:val="20"/>
        </w:rPr>
        <w:t xml:space="preserve"> peso de activos de conversión inmediata en efectivo por cada peso de pasivos a corto plazo. </w:t>
      </w:r>
    </w:p>
    <w:p w14:paraId="78C81023" w14:textId="77777777" w:rsidR="005666F0" w:rsidRPr="005666F0" w:rsidRDefault="005666F0" w:rsidP="005666F0">
      <w:pPr>
        <w:autoSpaceDE w:val="0"/>
        <w:autoSpaceDN w:val="0"/>
        <w:adjustRightInd w:val="0"/>
        <w:jc w:val="both"/>
        <w:outlineLvl w:val="0"/>
        <w:rPr>
          <w:rFonts w:ascii="Arial" w:hAnsi="Arial"/>
          <w:sz w:val="20"/>
        </w:rPr>
      </w:pPr>
    </w:p>
    <w:p w14:paraId="2E20039B" w14:textId="476D0F74" w:rsidR="005666F0" w:rsidRPr="005666F0" w:rsidRDefault="005666F0" w:rsidP="005666F0">
      <w:pPr>
        <w:autoSpaceDE w:val="0"/>
        <w:autoSpaceDN w:val="0"/>
        <w:adjustRightInd w:val="0"/>
        <w:jc w:val="both"/>
        <w:outlineLvl w:val="0"/>
        <w:rPr>
          <w:rFonts w:ascii="Arial" w:hAnsi="Arial"/>
          <w:sz w:val="20"/>
        </w:rPr>
      </w:pPr>
      <w:r w:rsidRPr="005666F0">
        <w:rPr>
          <w:rFonts w:ascii="Arial" w:hAnsi="Arial"/>
          <w:sz w:val="20"/>
        </w:rPr>
        <w:t xml:space="preserve">La posición financiera que guardan las Instituciones Públicas de Seguridad Social muestra los ingresos y egresos al </w:t>
      </w:r>
      <w:r w:rsidR="008E371A">
        <w:rPr>
          <w:rFonts w:ascii="Arial" w:hAnsi="Arial"/>
          <w:sz w:val="20"/>
        </w:rPr>
        <w:t xml:space="preserve">30 de </w:t>
      </w:r>
      <w:r w:rsidR="00C46D5F">
        <w:rPr>
          <w:rFonts w:ascii="Arial" w:hAnsi="Arial"/>
          <w:sz w:val="20"/>
        </w:rPr>
        <w:t xml:space="preserve">septiembre </w:t>
      </w:r>
      <w:r w:rsidRPr="005666F0">
        <w:rPr>
          <w:rFonts w:ascii="Arial" w:hAnsi="Arial"/>
          <w:sz w:val="20"/>
        </w:rPr>
        <w:t>del ejercicio 2023.</w:t>
      </w:r>
    </w:p>
    <w:p w14:paraId="1D371293" w14:textId="77777777" w:rsidR="005666F0" w:rsidRPr="005666F0" w:rsidRDefault="005666F0" w:rsidP="005666F0">
      <w:pPr>
        <w:jc w:val="both"/>
        <w:rPr>
          <w:rFonts w:ascii="Arial" w:hAnsi="Arial"/>
          <w:sz w:val="20"/>
        </w:rPr>
      </w:pPr>
      <w:r w:rsidRPr="005666F0">
        <w:rPr>
          <w:rFonts w:ascii="Arial" w:hAnsi="Arial"/>
          <w:sz w:val="20"/>
        </w:rPr>
        <w:br w:type="page"/>
      </w:r>
    </w:p>
    <w:p w14:paraId="64D04CE5" w14:textId="77777777" w:rsidR="005666F0" w:rsidRPr="005666F0" w:rsidRDefault="005666F0" w:rsidP="00AB54E6">
      <w:pPr>
        <w:pStyle w:val="Ttulo1"/>
        <w:rPr>
          <w:lang w:val="es-ES" w:eastAsia="es-ES"/>
        </w:rPr>
      </w:pPr>
      <w:bookmarkStart w:id="5" w:name="_Hlk125467787"/>
      <w:r w:rsidRPr="005666F0">
        <w:rPr>
          <w:lang w:val="es-ES" w:eastAsia="es-ES"/>
        </w:rPr>
        <w:lastRenderedPageBreak/>
        <w:t>Reporte analítico del activo no circulante</w:t>
      </w:r>
    </w:p>
    <w:p w14:paraId="2622CF93" w14:textId="77777777" w:rsidR="005666F0" w:rsidRPr="005666F0" w:rsidRDefault="005666F0" w:rsidP="005666F0">
      <w:pPr>
        <w:widowControl w:val="0"/>
        <w:jc w:val="both"/>
        <w:rPr>
          <w:rFonts w:ascii="Arial" w:hAnsi="Arial" w:cs="Arial"/>
          <w:sz w:val="20"/>
          <w:szCs w:val="20"/>
        </w:rPr>
      </w:pPr>
    </w:p>
    <w:bookmarkEnd w:id="5"/>
    <w:p w14:paraId="208200D6" w14:textId="77777777" w:rsidR="005666F0" w:rsidRPr="005666F0" w:rsidRDefault="005666F0" w:rsidP="005666F0">
      <w:pPr>
        <w:widowControl w:val="0"/>
        <w:jc w:val="both"/>
        <w:rPr>
          <w:rFonts w:ascii="Arial" w:hAnsi="Arial"/>
          <w:sz w:val="20"/>
        </w:rPr>
      </w:pPr>
      <w:r w:rsidRPr="005666F0">
        <w:rPr>
          <w:rFonts w:ascii="Arial" w:hAnsi="Arial"/>
          <w:sz w:val="20"/>
        </w:rPr>
        <w:t>A continuación se presentan los saldos por tipo de activo no circulante registrado en los estados financieros consolidados al periodo que se informa. Este reporte muestra el total de las adquisiciones que integran su patrimonio.</w:t>
      </w:r>
    </w:p>
    <w:p w14:paraId="3666E1B1" w14:textId="77777777" w:rsidR="005666F0" w:rsidRPr="005666F0" w:rsidRDefault="005666F0" w:rsidP="005666F0">
      <w:pPr>
        <w:widowControl w:val="0"/>
        <w:rPr>
          <w:rFonts w:ascii="Arial" w:hAnsi="Arial"/>
          <w:sz w:val="20"/>
        </w:rPr>
      </w:pPr>
    </w:p>
    <w:p w14:paraId="23ED15E0" w14:textId="535CD1AE" w:rsidR="005666F0" w:rsidRPr="005666F0" w:rsidRDefault="004B16FD" w:rsidP="005666F0">
      <w:pPr>
        <w:widowControl w:val="0"/>
        <w:jc w:val="center"/>
        <w:rPr>
          <w:rFonts w:ascii="Arial" w:hAnsi="Arial"/>
          <w:sz w:val="20"/>
        </w:rPr>
      </w:pPr>
      <w:r w:rsidRPr="004B16FD">
        <w:rPr>
          <w:noProof/>
        </w:rPr>
        <w:drawing>
          <wp:inline distT="0" distB="0" distL="0" distR="0" wp14:anchorId="59B55DA0" wp14:editId="04CBBBD6">
            <wp:extent cx="6691630" cy="1723390"/>
            <wp:effectExtent l="0" t="0" r="0" b="0"/>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691630" cy="1723390"/>
                    </a:xfrm>
                    <a:prstGeom prst="rect">
                      <a:avLst/>
                    </a:prstGeom>
                    <a:noFill/>
                    <a:ln>
                      <a:noFill/>
                    </a:ln>
                  </pic:spPr>
                </pic:pic>
              </a:graphicData>
            </a:graphic>
          </wp:inline>
        </w:drawing>
      </w:r>
    </w:p>
    <w:p w14:paraId="596CEC4B" w14:textId="77777777" w:rsidR="005666F0" w:rsidRPr="005666F0" w:rsidRDefault="005666F0" w:rsidP="005666F0">
      <w:pPr>
        <w:rPr>
          <w:rFonts w:ascii="Arial" w:hAnsi="Arial"/>
          <w:b/>
          <w:bCs/>
          <w:sz w:val="20"/>
        </w:rPr>
      </w:pPr>
    </w:p>
    <w:p w14:paraId="42B1E2BF" w14:textId="77777777" w:rsidR="005666F0" w:rsidRPr="005666F0" w:rsidRDefault="005666F0" w:rsidP="005666F0">
      <w:pPr>
        <w:rPr>
          <w:rFonts w:ascii="Arial" w:hAnsi="Arial"/>
          <w:noProof/>
          <w:sz w:val="20"/>
          <w:lang w:eastAsia="es-MX"/>
        </w:rPr>
      </w:pPr>
    </w:p>
    <w:p w14:paraId="3D5489A3" w14:textId="77777777" w:rsidR="005666F0" w:rsidRPr="005666F0" w:rsidRDefault="005666F0" w:rsidP="005666F0">
      <w:pPr>
        <w:rPr>
          <w:rFonts w:ascii="Arial" w:hAnsi="Arial"/>
          <w:noProof/>
          <w:sz w:val="20"/>
          <w:lang w:eastAsia="es-MX"/>
        </w:rPr>
      </w:pPr>
    </w:p>
    <w:p w14:paraId="6F30FA4B" w14:textId="521FBABE" w:rsidR="005666F0" w:rsidRPr="005666F0" w:rsidRDefault="004B16FD" w:rsidP="005666F0">
      <w:pPr>
        <w:jc w:val="center"/>
        <w:rPr>
          <w:rFonts w:ascii="Arial" w:hAnsi="Arial"/>
          <w:noProof/>
          <w:sz w:val="20"/>
          <w:lang w:eastAsia="es-MX"/>
        </w:rPr>
      </w:pPr>
      <w:r w:rsidRPr="004B16FD">
        <w:rPr>
          <w:noProof/>
        </w:rPr>
        <w:drawing>
          <wp:inline distT="0" distB="0" distL="0" distR="0" wp14:anchorId="5AC7E04C" wp14:editId="7F012C01">
            <wp:extent cx="6691630" cy="1849755"/>
            <wp:effectExtent l="0" t="0" r="0" b="0"/>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691630" cy="1849755"/>
                    </a:xfrm>
                    <a:prstGeom prst="rect">
                      <a:avLst/>
                    </a:prstGeom>
                    <a:noFill/>
                    <a:ln>
                      <a:noFill/>
                    </a:ln>
                  </pic:spPr>
                </pic:pic>
              </a:graphicData>
            </a:graphic>
          </wp:inline>
        </w:drawing>
      </w:r>
    </w:p>
    <w:p w14:paraId="44FF0568" w14:textId="77777777" w:rsidR="005666F0" w:rsidRPr="005666F0" w:rsidRDefault="005666F0" w:rsidP="005666F0">
      <w:pPr>
        <w:rPr>
          <w:rFonts w:ascii="Arial" w:hAnsi="Arial"/>
          <w:noProof/>
          <w:sz w:val="20"/>
          <w:lang w:eastAsia="es-MX"/>
        </w:rPr>
      </w:pPr>
    </w:p>
    <w:p w14:paraId="067F51DC" w14:textId="77777777" w:rsidR="005666F0" w:rsidRPr="005666F0" w:rsidRDefault="005666F0" w:rsidP="005666F0">
      <w:pPr>
        <w:rPr>
          <w:rFonts w:ascii="Arial" w:hAnsi="Arial"/>
          <w:noProof/>
          <w:sz w:val="20"/>
          <w:lang w:eastAsia="es-MX"/>
        </w:rPr>
      </w:pPr>
    </w:p>
    <w:p w14:paraId="5D7407B0" w14:textId="77777777" w:rsidR="005666F0" w:rsidRPr="005666F0" w:rsidRDefault="005666F0" w:rsidP="005666F0">
      <w:pPr>
        <w:rPr>
          <w:rFonts w:ascii="Arial" w:hAnsi="Arial"/>
          <w:noProof/>
          <w:sz w:val="20"/>
          <w:lang w:eastAsia="es-MX"/>
        </w:rPr>
      </w:pPr>
    </w:p>
    <w:p w14:paraId="4757CF91" w14:textId="63046974" w:rsidR="005666F0" w:rsidRPr="005666F0" w:rsidRDefault="004B16FD" w:rsidP="005666F0">
      <w:pPr>
        <w:jc w:val="center"/>
        <w:rPr>
          <w:rFonts w:ascii="Arial" w:hAnsi="Arial"/>
          <w:noProof/>
          <w:sz w:val="20"/>
          <w:lang w:eastAsia="es-MX"/>
        </w:rPr>
      </w:pPr>
      <w:r w:rsidRPr="004B16FD">
        <w:rPr>
          <w:noProof/>
        </w:rPr>
        <w:drawing>
          <wp:inline distT="0" distB="0" distL="0" distR="0" wp14:anchorId="3C9DF46B" wp14:editId="2F83F677">
            <wp:extent cx="6691630" cy="1668780"/>
            <wp:effectExtent l="0" t="0" r="0" b="0"/>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691630" cy="1668780"/>
                    </a:xfrm>
                    <a:prstGeom prst="rect">
                      <a:avLst/>
                    </a:prstGeom>
                    <a:noFill/>
                    <a:ln>
                      <a:noFill/>
                    </a:ln>
                  </pic:spPr>
                </pic:pic>
              </a:graphicData>
            </a:graphic>
          </wp:inline>
        </w:drawing>
      </w:r>
    </w:p>
    <w:p w14:paraId="0EC2C558" w14:textId="77777777" w:rsidR="005666F0" w:rsidRPr="005666F0" w:rsidRDefault="005666F0" w:rsidP="005666F0">
      <w:pPr>
        <w:rPr>
          <w:rFonts w:ascii="Arial" w:hAnsi="Arial"/>
          <w:noProof/>
          <w:sz w:val="20"/>
          <w:lang w:eastAsia="es-MX"/>
        </w:rPr>
      </w:pPr>
    </w:p>
    <w:p w14:paraId="61198860" w14:textId="77777777" w:rsidR="005666F0" w:rsidRPr="005666F0" w:rsidRDefault="005666F0" w:rsidP="005666F0">
      <w:pPr>
        <w:rPr>
          <w:rFonts w:ascii="Arial" w:hAnsi="Arial"/>
          <w:noProof/>
          <w:sz w:val="20"/>
          <w:lang w:eastAsia="es-MX"/>
        </w:rPr>
      </w:pPr>
    </w:p>
    <w:p w14:paraId="2B91A8B0" w14:textId="77777777" w:rsidR="005666F0" w:rsidRPr="005666F0" w:rsidRDefault="005666F0" w:rsidP="005666F0">
      <w:pPr>
        <w:rPr>
          <w:rFonts w:ascii="Arial" w:hAnsi="Arial"/>
          <w:noProof/>
          <w:sz w:val="20"/>
          <w:lang w:eastAsia="es-MX"/>
        </w:rPr>
      </w:pPr>
    </w:p>
    <w:p w14:paraId="0E012B4D" w14:textId="7CB59A72" w:rsidR="005666F0" w:rsidRPr="005666F0" w:rsidRDefault="004B16FD" w:rsidP="005666F0">
      <w:pPr>
        <w:jc w:val="center"/>
        <w:rPr>
          <w:rFonts w:ascii="Arial" w:hAnsi="Arial"/>
          <w:noProof/>
          <w:sz w:val="20"/>
          <w:lang w:eastAsia="es-MX"/>
        </w:rPr>
      </w:pPr>
      <w:r w:rsidRPr="004B16FD">
        <w:rPr>
          <w:noProof/>
        </w:rPr>
        <w:lastRenderedPageBreak/>
        <w:drawing>
          <wp:inline distT="0" distB="0" distL="0" distR="0" wp14:anchorId="49E2563C" wp14:editId="1A4A67E6">
            <wp:extent cx="6691630" cy="1464945"/>
            <wp:effectExtent l="0" t="0" r="0" b="1905"/>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691630" cy="1464945"/>
                    </a:xfrm>
                    <a:prstGeom prst="rect">
                      <a:avLst/>
                    </a:prstGeom>
                    <a:noFill/>
                    <a:ln>
                      <a:noFill/>
                    </a:ln>
                  </pic:spPr>
                </pic:pic>
              </a:graphicData>
            </a:graphic>
          </wp:inline>
        </w:drawing>
      </w:r>
    </w:p>
    <w:p w14:paraId="5DE6E7C3" w14:textId="77777777" w:rsidR="005666F0" w:rsidRPr="005666F0" w:rsidRDefault="005666F0" w:rsidP="005666F0">
      <w:pPr>
        <w:rPr>
          <w:rFonts w:ascii="Arial" w:hAnsi="Arial"/>
          <w:noProof/>
          <w:sz w:val="20"/>
          <w:lang w:eastAsia="es-MX"/>
        </w:rPr>
      </w:pPr>
    </w:p>
    <w:p w14:paraId="7E5605EB" w14:textId="77777777" w:rsidR="005666F0" w:rsidRPr="005666F0" w:rsidRDefault="005666F0" w:rsidP="005666F0">
      <w:pPr>
        <w:rPr>
          <w:rFonts w:ascii="Arial" w:hAnsi="Arial"/>
          <w:noProof/>
          <w:sz w:val="20"/>
          <w:lang w:eastAsia="es-MX"/>
        </w:rPr>
      </w:pPr>
    </w:p>
    <w:p w14:paraId="452DFFA8" w14:textId="77777777" w:rsidR="005666F0" w:rsidRPr="005666F0" w:rsidRDefault="005666F0" w:rsidP="005666F0">
      <w:pPr>
        <w:rPr>
          <w:rFonts w:ascii="Arial" w:hAnsi="Arial"/>
          <w:noProof/>
          <w:sz w:val="20"/>
          <w:lang w:eastAsia="es-MX"/>
        </w:rPr>
      </w:pPr>
    </w:p>
    <w:p w14:paraId="10B5B078" w14:textId="63D8F09C" w:rsidR="005666F0" w:rsidRPr="005666F0" w:rsidRDefault="004B16FD" w:rsidP="005666F0">
      <w:pPr>
        <w:jc w:val="center"/>
        <w:rPr>
          <w:rFonts w:ascii="Arial" w:hAnsi="Arial"/>
          <w:sz w:val="20"/>
        </w:rPr>
      </w:pPr>
      <w:r w:rsidRPr="004B16FD">
        <w:rPr>
          <w:noProof/>
        </w:rPr>
        <w:drawing>
          <wp:inline distT="0" distB="0" distL="0" distR="0" wp14:anchorId="5F7B733A" wp14:editId="70A422D3">
            <wp:extent cx="6496050" cy="1847850"/>
            <wp:effectExtent l="0" t="0" r="0" b="0"/>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496050" cy="1847850"/>
                    </a:xfrm>
                    <a:prstGeom prst="rect">
                      <a:avLst/>
                    </a:prstGeom>
                    <a:noFill/>
                    <a:ln>
                      <a:noFill/>
                    </a:ln>
                  </pic:spPr>
                </pic:pic>
              </a:graphicData>
            </a:graphic>
          </wp:inline>
        </w:drawing>
      </w:r>
    </w:p>
    <w:p w14:paraId="253F964E" w14:textId="77777777" w:rsidR="005666F0" w:rsidRPr="005666F0" w:rsidRDefault="005666F0" w:rsidP="005666F0">
      <w:pPr>
        <w:rPr>
          <w:rFonts w:ascii="Arial" w:hAnsi="Arial"/>
          <w:sz w:val="20"/>
        </w:rPr>
      </w:pPr>
    </w:p>
    <w:p w14:paraId="358B23D0" w14:textId="4C5E2EB5" w:rsidR="00AA77B2" w:rsidRDefault="00AA77B2" w:rsidP="00AA77B2">
      <w:pPr>
        <w:jc w:val="both"/>
        <w:rPr>
          <w:rFonts w:ascii="Arial" w:eastAsia="Times New Roman" w:hAnsi="Arial" w:cs="Arial"/>
          <w:bCs/>
          <w:iCs/>
          <w:sz w:val="20"/>
          <w:szCs w:val="20"/>
          <w:lang w:val="es-ES" w:eastAsia="es-ES"/>
        </w:rPr>
      </w:pPr>
    </w:p>
    <w:p w14:paraId="5432AE18" w14:textId="77777777" w:rsidR="00D56F42" w:rsidRPr="00AA77B2" w:rsidRDefault="00D56F42" w:rsidP="00AA77B2">
      <w:pPr>
        <w:jc w:val="both"/>
        <w:rPr>
          <w:rFonts w:ascii="Arial" w:eastAsia="Times New Roman" w:hAnsi="Arial" w:cs="Arial"/>
          <w:bCs/>
          <w:iCs/>
          <w:sz w:val="20"/>
          <w:szCs w:val="20"/>
          <w:lang w:val="es-ES" w:eastAsia="es-ES"/>
        </w:rPr>
      </w:pPr>
      <w:bookmarkStart w:id="6" w:name="_GoBack"/>
      <w:bookmarkEnd w:id="6"/>
    </w:p>
    <w:p w14:paraId="56E78AF2" w14:textId="3745FD9B" w:rsidR="009537A0" w:rsidRPr="009537A0" w:rsidRDefault="004B16FD" w:rsidP="001003B2">
      <w:pPr>
        <w:jc w:val="center"/>
        <w:rPr>
          <w:rFonts w:ascii="Arial" w:eastAsia="Arial" w:hAnsi="Arial" w:cs="Arial"/>
          <w:iCs/>
          <w:sz w:val="20"/>
          <w:szCs w:val="20"/>
          <w:lang w:val="es-ES" w:eastAsia="es-ES"/>
        </w:rPr>
      </w:pPr>
      <w:r w:rsidRPr="004B16FD">
        <w:rPr>
          <w:noProof/>
        </w:rPr>
        <w:drawing>
          <wp:inline distT="0" distB="0" distL="0" distR="0" wp14:anchorId="53675542" wp14:editId="6119D67A">
            <wp:extent cx="6324600" cy="1819275"/>
            <wp:effectExtent l="0" t="0" r="0" b="0"/>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324600" cy="1819275"/>
                    </a:xfrm>
                    <a:prstGeom prst="rect">
                      <a:avLst/>
                    </a:prstGeom>
                    <a:noFill/>
                    <a:ln>
                      <a:noFill/>
                    </a:ln>
                  </pic:spPr>
                </pic:pic>
              </a:graphicData>
            </a:graphic>
          </wp:inline>
        </w:drawing>
      </w:r>
    </w:p>
    <w:sectPr w:rsidR="009537A0" w:rsidRPr="009537A0" w:rsidSect="002246FB">
      <w:headerReference w:type="even" r:id="rId45"/>
      <w:headerReference w:type="default" r:id="rId46"/>
      <w:footerReference w:type="even" r:id="rId47"/>
      <w:footerReference w:type="default" r:id="rId48"/>
      <w:type w:val="continuous"/>
      <w:pgSz w:w="12240" w:h="15840" w:code="139"/>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DA1FA" w14:textId="77777777" w:rsidR="008E4FCA" w:rsidRDefault="008E4FCA" w:rsidP="00DB7283">
      <w:r>
        <w:separator/>
      </w:r>
    </w:p>
  </w:endnote>
  <w:endnote w:type="continuationSeparator" w:id="0">
    <w:p w14:paraId="70DEC87C" w14:textId="77777777" w:rsidR="008E4FCA" w:rsidRDefault="008E4FCA" w:rsidP="00DB7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otham">
    <w:panose1 w:val="02000604040000020004"/>
    <w:charset w:val="00"/>
    <w:family w:val="auto"/>
    <w:pitch w:val="variable"/>
    <w:sig w:usb0="800000A7"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Fedra Serif A Pro Book">
    <w:altName w:val="Times New Roman"/>
    <w:panose1 w:val="00000000000000000000"/>
    <w:charset w:val="00"/>
    <w:family w:val="modern"/>
    <w:notTrueType/>
    <w:pitch w:val="variable"/>
    <w:sig w:usb0="00000003" w:usb1="00000000" w:usb2="00000000" w:usb3="00000000" w:csb0="00000001" w:csb1="00000000"/>
  </w:font>
  <w:font w:name="Bimini">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20B0406020202030204"/>
    <w:charset w:val="00"/>
    <w:family w:val="swiss"/>
    <w:notTrueType/>
    <w:pitch w:val="variable"/>
    <w:sig w:usb0="00000003" w:usb1="00000000" w:usb2="00000000" w:usb3="00000000" w:csb0="00000001" w:csb1="00000000"/>
  </w:font>
  <w:font w:name="Montserrat">
    <w:altName w:val="Times New Roman"/>
    <w:charset w:val="00"/>
    <w:family w:val="auto"/>
    <w:pitch w:val="variable"/>
    <w:sig w:usb0="2000020F" w:usb1="00000003" w:usb2="00000000" w:usb3="00000000" w:csb0="00000197" w:csb1="00000000"/>
  </w:font>
  <w:font w:name="Aller">
    <w:altName w:val="Aller"/>
    <w:panose1 w:val="00000000000000000000"/>
    <w:charset w:val="00"/>
    <w:family w:val="swiss"/>
    <w:notTrueType/>
    <w:pitch w:val="default"/>
    <w:sig w:usb0="00000003" w:usb1="00000000" w:usb2="00000000" w:usb3="00000000" w:csb0="00000001" w:csb1="00000000"/>
  </w:font>
  <w:font w:name="Gotham Light">
    <w:panose1 w:val="00000000000000000000"/>
    <w:charset w:val="00"/>
    <w:family w:val="modern"/>
    <w:notTrueType/>
    <w:pitch w:val="variable"/>
    <w:sig w:usb0="A00000AF" w:usb1="50000048" w:usb2="00000000" w:usb3="00000000" w:csb0="00000111" w:csb1="00000000"/>
  </w:font>
  <w:font w:name="Romana BT">
    <w:altName w:val="Times New Roman"/>
    <w:charset w:val="00"/>
    <w:family w:val="roman"/>
    <w:pitch w:val="variable"/>
    <w:sig w:usb0="00000087" w:usb1="00000000" w:usb2="00000000" w:usb3="00000000" w:csb0="0000001B" w:csb1="00000000"/>
  </w:font>
  <w:font w:name="HelveticaNeueLT Std Lt">
    <w:altName w:val="Arial"/>
    <w:panose1 w:val="020B0403020202020204"/>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Kozuka Gothic Pro M">
    <w:altName w:val="Arial Unicode MS"/>
    <w:panose1 w:val="00000000000000000000"/>
    <w:charset w:val="80"/>
    <w:family w:val="swiss"/>
    <w:notTrueType/>
    <w:pitch w:val="variable"/>
    <w:sig w:usb0="00000000" w:usb1="2AC71C11" w:usb2="00000012" w:usb3="00000000" w:csb0="00020005" w:csb1="00000000"/>
  </w:font>
  <w:font w:name="GothamMedium">
    <w:altName w:val="Arial"/>
    <w:panose1 w:val="00000000000000000000"/>
    <w:charset w:val="00"/>
    <w:family w:val="modern"/>
    <w:notTrueType/>
    <w:pitch w:val="variable"/>
    <w:sig w:usb0="A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C82A5" w14:textId="5B0C582E" w:rsidR="006E072E" w:rsidRPr="00FC6C71" w:rsidRDefault="006E072E" w:rsidP="005C384A">
    <w:pPr>
      <w:pStyle w:val="Piedepgina"/>
      <w:rPr>
        <w:rStyle w:val="Nmerodepgina"/>
        <w:rFonts w:ascii="Arial" w:eastAsia="Kozuka Gothic Pro M" w:hAnsi="Arial" w:cs="Arial"/>
        <w:sz w:val="18"/>
        <w:szCs w:val="18"/>
      </w:rPr>
    </w:pPr>
    <w:r>
      <w:rPr>
        <w:rFonts w:ascii="Arial" w:eastAsia="Kozuka Gothic Pro M" w:hAnsi="Arial" w:cs="Arial"/>
        <w:noProof/>
        <w:sz w:val="18"/>
        <w:szCs w:val="18"/>
        <w:lang w:eastAsia="es-MX"/>
      </w:rPr>
      <w:drawing>
        <wp:anchor distT="0" distB="0" distL="114300" distR="114300" simplePos="0" relativeHeight="251659264" behindDoc="1" locked="0" layoutInCell="1" allowOverlap="1" wp14:anchorId="039FBAD3" wp14:editId="489C9F0D">
          <wp:simplePos x="0" y="0"/>
          <wp:positionH relativeFrom="column">
            <wp:posOffset>-2540</wp:posOffset>
          </wp:positionH>
          <wp:positionV relativeFrom="paragraph">
            <wp:posOffset>123190</wp:posOffset>
          </wp:positionV>
          <wp:extent cx="6259830" cy="252730"/>
          <wp:effectExtent l="0" t="0" r="762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 par.png"/>
                  <pic:cNvPicPr/>
                </pic:nvPicPr>
                <pic:blipFill>
                  <a:blip r:embed="rId1">
                    <a:extLst>
                      <a:ext uri="{28A0092B-C50C-407E-A947-70E740481C1C}">
                        <a14:useLocalDpi xmlns:a14="http://schemas.microsoft.com/office/drawing/2010/main" val="0"/>
                      </a:ext>
                    </a:extLst>
                  </a:blip>
                  <a:stretch>
                    <a:fillRect/>
                  </a:stretch>
                </pic:blipFill>
                <pic:spPr>
                  <a:xfrm>
                    <a:off x="0" y="0"/>
                    <a:ext cx="6259830" cy="252730"/>
                  </a:xfrm>
                  <a:prstGeom prst="rect">
                    <a:avLst/>
                  </a:prstGeom>
                </pic:spPr>
              </pic:pic>
            </a:graphicData>
          </a:graphic>
          <wp14:sizeRelH relativeFrom="page">
            <wp14:pctWidth>0</wp14:pctWidth>
          </wp14:sizeRelH>
          <wp14:sizeRelV relativeFrom="page">
            <wp14:pctHeight>0</wp14:pctHeight>
          </wp14:sizeRelV>
        </wp:anchor>
      </w:drawing>
    </w:r>
  </w:p>
  <w:p w14:paraId="4BBCB8CD" w14:textId="77777777" w:rsidR="006E072E" w:rsidRPr="006A44C4" w:rsidRDefault="006E072E" w:rsidP="00F61A38">
    <w:pPr>
      <w:pStyle w:val="Piedepgina"/>
      <w:framePr w:w="436" w:wrap="around" w:vAnchor="text" w:hAnchor="page" w:x="1546" w:y="78"/>
      <w:rPr>
        <w:rStyle w:val="Nmerodepgina"/>
        <w:rFonts w:ascii="GothamMedium" w:eastAsia="Kozuka Gothic Pro M" w:hAnsi="GothamMedium" w:cs="Arial"/>
        <w:sz w:val="18"/>
        <w:szCs w:val="20"/>
      </w:rPr>
    </w:pPr>
    <w:r w:rsidRPr="006A44C4">
      <w:rPr>
        <w:rStyle w:val="Nmerodepgina"/>
        <w:rFonts w:ascii="GothamMedium" w:eastAsia="Kozuka Gothic Pro M" w:hAnsi="GothamMedium" w:cs="Arial"/>
        <w:sz w:val="18"/>
        <w:szCs w:val="20"/>
      </w:rPr>
      <w:fldChar w:fldCharType="begin"/>
    </w:r>
    <w:r w:rsidRPr="006A44C4">
      <w:rPr>
        <w:rStyle w:val="Nmerodepgina"/>
        <w:rFonts w:ascii="GothamMedium" w:eastAsia="Kozuka Gothic Pro M" w:hAnsi="GothamMedium" w:cs="Arial"/>
        <w:sz w:val="18"/>
        <w:szCs w:val="20"/>
      </w:rPr>
      <w:instrText xml:space="preserve">PAGE  </w:instrText>
    </w:r>
    <w:r w:rsidRPr="006A44C4">
      <w:rPr>
        <w:rStyle w:val="Nmerodepgina"/>
        <w:rFonts w:ascii="GothamMedium" w:eastAsia="Kozuka Gothic Pro M" w:hAnsi="GothamMedium" w:cs="Arial"/>
        <w:sz w:val="18"/>
        <w:szCs w:val="20"/>
      </w:rPr>
      <w:fldChar w:fldCharType="separate"/>
    </w:r>
    <w:r w:rsidR="00E91F23">
      <w:rPr>
        <w:rStyle w:val="Nmerodepgina"/>
        <w:rFonts w:ascii="GothamMedium" w:eastAsia="Kozuka Gothic Pro M" w:hAnsi="GothamMedium" w:cs="Arial"/>
        <w:noProof/>
        <w:sz w:val="18"/>
        <w:szCs w:val="20"/>
      </w:rPr>
      <w:t>98</w:t>
    </w:r>
    <w:r w:rsidRPr="006A44C4">
      <w:rPr>
        <w:rStyle w:val="Nmerodepgina"/>
        <w:rFonts w:ascii="GothamMedium" w:eastAsia="Kozuka Gothic Pro M" w:hAnsi="GothamMedium" w:cs="Arial"/>
        <w:sz w:val="18"/>
        <w:szCs w:val="20"/>
      </w:rPr>
      <w:fldChar w:fldCharType="end"/>
    </w:r>
  </w:p>
  <w:p w14:paraId="220A678B" w14:textId="77777777" w:rsidR="006E072E" w:rsidRPr="005C384A" w:rsidRDefault="006E072E" w:rsidP="005C384A">
    <w:pPr>
      <w:pStyle w:val="Piedepgina"/>
      <w:rPr>
        <w:rFonts w:ascii="Arial" w:hAnsi="Arial" w:cs="Arial"/>
        <w:sz w:val="18"/>
        <w:szCs w:val="18"/>
        <w:lang w:eastAsia="es-MX"/>
      </w:rPr>
    </w:pPr>
  </w:p>
  <w:p w14:paraId="423D2835" w14:textId="77777777" w:rsidR="006E072E" w:rsidRDefault="006E072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0DEE" w14:textId="77777777" w:rsidR="006E072E" w:rsidRPr="00804B3D" w:rsidRDefault="006E072E" w:rsidP="00804B3D">
    <w:pPr>
      <w:jc w:val="right"/>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EFA6A" w14:textId="77777777" w:rsidR="008E4FCA" w:rsidRDefault="008E4FCA" w:rsidP="00DB7283">
      <w:r>
        <w:separator/>
      </w:r>
    </w:p>
  </w:footnote>
  <w:footnote w:type="continuationSeparator" w:id="0">
    <w:p w14:paraId="2B7C5863" w14:textId="77777777" w:rsidR="008E4FCA" w:rsidRDefault="008E4FCA" w:rsidP="00DB7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25967" w14:textId="77777777" w:rsidR="006E072E" w:rsidRPr="002C11A1" w:rsidRDefault="006E072E" w:rsidP="002C11A1">
    <w:pPr>
      <w:pStyle w:val="Encabezado"/>
      <w:spacing w:after="120"/>
      <w:rPr>
        <w:rFonts w:ascii="Arial" w:hAnsi="Arial" w:cs="Arial"/>
        <w:sz w:val="20"/>
        <w:szCs w:val="20"/>
        <w:lang w:val="es-ES" w:eastAsia="es-ES"/>
      </w:rPr>
    </w:pPr>
    <w:bookmarkStart w:id="7" w:name="_Hlk124766719"/>
    <w:bookmarkStart w:id="8" w:name="_Hlk124766720"/>
    <w:r w:rsidRPr="002C11A1">
      <w:rPr>
        <w:rFonts w:ascii="Arial" w:hAnsi="Arial" w:cs="Arial"/>
        <w:noProof/>
        <w:sz w:val="20"/>
        <w:szCs w:val="20"/>
        <w:lang w:eastAsia="es-MX"/>
      </w:rPr>
      <w:drawing>
        <wp:anchor distT="0" distB="0" distL="114300" distR="114300" simplePos="0" relativeHeight="251656192" behindDoc="0" locked="0" layoutInCell="1" allowOverlap="1" wp14:anchorId="7A5597CF" wp14:editId="6414D5AE">
          <wp:simplePos x="0" y="0"/>
          <wp:positionH relativeFrom="margin">
            <wp:posOffset>46563</wp:posOffset>
          </wp:positionH>
          <wp:positionV relativeFrom="paragraph">
            <wp:posOffset>-88900</wp:posOffset>
          </wp:positionV>
          <wp:extent cx="1361659" cy="381000"/>
          <wp:effectExtent l="0" t="0" r="0"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lvarez\Documents\2022\Cuenta Publica 2022\Cuenta publica - portadas-1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61659" cy="381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bookmarkEnd w:id="7"/>
  <w:bookmarkEnd w:id="8"/>
  <w:p w14:paraId="0B2C7294" w14:textId="77777777" w:rsidR="006E072E" w:rsidRPr="002C11A1" w:rsidRDefault="006E072E" w:rsidP="002C11A1">
    <w:pPr>
      <w:pStyle w:val="Encabezado"/>
      <w:rPr>
        <w:rFonts w:ascii="Arial" w:hAnsi="Arial" w:cs="Arial"/>
        <w:sz w:val="20"/>
        <w:szCs w:val="20"/>
        <w:lang w:val="es-ES" w:eastAsia="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55DFF" w14:textId="77777777" w:rsidR="002246FB" w:rsidRDefault="002246FB" w:rsidP="002246FB">
    <w:pPr>
      <w:pStyle w:val="Encabezado"/>
      <w:tabs>
        <w:tab w:val="left" w:pos="4860"/>
      </w:tabs>
      <w:ind w:right="846"/>
      <w:jc w:val="right"/>
      <w:rPr>
        <w:rFonts w:ascii="Romana BT" w:hAnsi="Romana BT"/>
        <w:b/>
        <w:noProof/>
        <w:sz w:val="16"/>
        <w:szCs w:val="16"/>
      </w:rPr>
    </w:pPr>
    <w:r>
      <w:rPr>
        <w:rFonts w:ascii="Romana BT" w:hAnsi="Romana BT"/>
        <w:b/>
        <w:noProof/>
        <w:sz w:val="16"/>
        <w:szCs w:val="16"/>
        <w:lang w:eastAsia="es-MX"/>
      </w:rPr>
      <mc:AlternateContent>
        <mc:Choice Requires="wps">
          <w:drawing>
            <wp:anchor distT="0" distB="0" distL="114300" distR="114300" simplePos="0" relativeHeight="251657216" behindDoc="0" locked="0" layoutInCell="1" allowOverlap="1" wp14:anchorId="1BC5549D" wp14:editId="7C4BC15B">
              <wp:simplePos x="0" y="0"/>
              <wp:positionH relativeFrom="margin">
                <wp:align>right</wp:align>
              </wp:positionH>
              <wp:positionV relativeFrom="paragraph">
                <wp:posOffset>-212090</wp:posOffset>
              </wp:positionV>
              <wp:extent cx="6686550" cy="381000"/>
              <wp:effectExtent l="0" t="0" r="0" b="0"/>
              <wp:wrapNone/>
              <wp:docPr id="3"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3FEBB" w14:textId="77777777" w:rsidR="002246FB" w:rsidRPr="002246FB" w:rsidRDefault="002246FB" w:rsidP="002246FB">
                          <w:pPr>
                            <w:jc w:val="center"/>
                            <w:rPr>
                              <w:rFonts w:ascii="HelveticaNeueLT Std Lt" w:eastAsia="Kozuka Gothic Pro B" w:hAnsi="HelveticaNeueLT Std Lt"/>
                              <w:b/>
                              <w:sz w:val="20"/>
                              <w:szCs w:val="20"/>
                            </w:rPr>
                          </w:pPr>
                          <w:r w:rsidRPr="002246FB">
                            <w:rPr>
                              <w:rFonts w:ascii="HelveticaNeueLT Std Lt" w:eastAsia="Kozuka Gothic Pro B" w:hAnsi="HelveticaNeueLT Std Lt"/>
                              <w:b/>
                              <w:sz w:val="20"/>
                              <w:szCs w:val="20"/>
                            </w:rPr>
                            <w:t>INSTITUCIONES PÚBLICAS DE SEGURIDAD SOCIAL</w:t>
                          </w:r>
                        </w:p>
                        <w:p w14:paraId="5080398E" w14:textId="77777777" w:rsidR="002246FB" w:rsidRPr="002246FB" w:rsidRDefault="002246FB" w:rsidP="002246FB">
                          <w:pPr>
                            <w:jc w:val="center"/>
                            <w:rPr>
                              <w:rFonts w:ascii="HelveticaNeueLT Std Lt" w:eastAsia="Kozuka Gothic Pro B" w:hAnsi="HelveticaNeueLT Std Lt"/>
                              <w:sz w:val="20"/>
                              <w:szCs w:val="20"/>
                            </w:rPr>
                          </w:pPr>
                          <w:r w:rsidRPr="002246FB">
                            <w:rPr>
                              <w:rFonts w:ascii="HelveticaNeueLT Std Lt" w:eastAsia="Kozuka Gothic Pro B" w:hAnsi="HelveticaNeueLT Std Lt"/>
                              <w:sz w:val="20"/>
                              <w:szCs w:val="20"/>
                            </w:rPr>
                            <w:t>Estados e Información Contable al 3er. Trimestre 2023</w:t>
                          </w:r>
                        </w:p>
                        <w:p w14:paraId="622CCC75" w14:textId="77777777" w:rsidR="002246FB" w:rsidRPr="002246FB" w:rsidRDefault="002246FB" w:rsidP="002246FB">
                          <w:pPr>
                            <w:rPr>
                              <w:rFonts w:ascii="HelveticaNeueLT Std Lt Cn" w:eastAsia="Kozuka Gothic Pro B" w:hAnsi="HelveticaNeueLT Std Lt C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C5549D" id="_x0000_t202" coordsize="21600,21600" o:spt="202" path="m,l,21600r21600,l21600,xe">
              <v:stroke joinstyle="miter"/>
              <v:path gradientshapeok="t" o:connecttype="rect"/>
            </v:shapetype>
            <v:shape id="Text Box 84" o:spid="_x0000_s1026" type="#_x0000_t202" style="position:absolute;left:0;text-align:left;margin-left:475.3pt;margin-top:-16.7pt;width:526.5pt;height:30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" filled="f" stroked="f">
              <v:textbox>
                <w:txbxContent>
                  <w:p w14:paraId="69F3FEBB" w14:textId="77777777" w:rsidR="002246FB" w:rsidRPr="002246FB" w:rsidRDefault="002246FB" w:rsidP="002246FB">
                    <w:pPr>
                      <w:jc w:val="center"/>
                      <w:rPr>
                        <w:rFonts w:ascii="HelveticaNeueLT Std Lt" w:eastAsia="Kozuka Gothic Pro B" w:hAnsi="HelveticaNeueLT Std Lt"/>
                        <w:b/>
                        <w:sz w:val="20"/>
                        <w:szCs w:val="20"/>
                      </w:rPr>
                    </w:pPr>
                    <w:r w:rsidRPr="002246FB">
                      <w:rPr>
                        <w:rFonts w:ascii="HelveticaNeueLT Std Lt" w:eastAsia="Kozuka Gothic Pro B" w:hAnsi="HelveticaNeueLT Std Lt"/>
                        <w:b/>
                        <w:sz w:val="20"/>
                        <w:szCs w:val="20"/>
                      </w:rPr>
                      <w:t>INSTITUCIONES PÚBLICAS DE SEGURIDAD SOCIAL</w:t>
                    </w:r>
                  </w:p>
                  <w:p w14:paraId="5080398E" w14:textId="77777777" w:rsidR="002246FB" w:rsidRPr="002246FB" w:rsidRDefault="002246FB" w:rsidP="002246FB">
                    <w:pPr>
                      <w:jc w:val="center"/>
                      <w:rPr>
                        <w:rFonts w:ascii="HelveticaNeueLT Std Lt" w:eastAsia="Kozuka Gothic Pro B" w:hAnsi="HelveticaNeueLT Std Lt"/>
                        <w:sz w:val="20"/>
                        <w:szCs w:val="20"/>
                      </w:rPr>
                    </w:pPr>
                    <w:r w:rsidRPr="002246FB">
                      <w:rPr>
                        <w:rFonts w:ascii="HelveticaNeueLT Std Lt" w:eastAsia="Kozuka Gothic Pro B" w:hAnsi="HelveticaNeueLT Std Lt"/>
                        <w:sz w:val="20"/>
                        <w:szCs w:val="20"/>
                      </w:rPr>
                      <w:t>Estados e Información Contable al 3er. Trimestre 2023</w:t>
                    </w:r>
                  </w:p>
                  <w:p w14:paraId="622CCC75" w14:textId="77777777" w:rsidR="002246FB" w:rsidRPr="002246FB" w:rsidRDefault="002246FB" w:rsidP="002246FB">
                    <w:pPr>
                      <w:rPr>
                        <w:rFonts w:ascii="HelveticaNeueLT Std Lt Cn" w:eastAsia="Kozuka Gothic Pro B" w:hAnsi="HelveticaNeueLT Std Lt Cn"/>
                        <w:sz w:val="20"/>
                        <w:szCs w:val="20"/>
                      </w:rPr>
                    </w:pPr>
                  </w:p>
                </w:txbxContent>
              </v:textbox>
              <w10:wrap anchorx="margin"/>
            </v:shape>
          </w:pict>
        </mc:Fallback>
      </mc:AlternateContent>
    </w:r>
    <w:r>
      <w:rPr>
        <w:rFonts w:ascii="Romana BT" w:hAnsi="Romana BT"/>
        <w:b/>
        <w:noProof/>
        <w:sz w:val="16"/>
        <w:szCs w:val="16"/>
        <w:lang w:eastAsia="es-MX"/>
      </w:rPr>
      <w:drawing>
        <wp:anchor distT="0" distB="0" distL="114300" distR="114300" simplePos="0" relativeHeight="251658240" behindDoc="1" locked="0" layoutInCell="1" allowOverlap="1" wp14:anchorId="0145B45A" wp14:editId="6A249092">
          <wp:simplePos x="0" y="0"/>
          <wp:positionH relativeFrom="page">
            <wp:align>right</wp:align>
          </wp:positionH>
          <wp:positionV relativeFrom="paragraph">
            <wp:posOffset>-231140</wp:posOffset>
          </wp:positionV>
          <wp:extent cx="7772400" cy="466725"/>
          <wp:effectExtent l="0" t="0" r="0" b="952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14:paraId="69C3E8C2" w14:textId="77777777" w:rsidR="002246FB" w:rsidRDefault="002246FB" w:rsidP="002246FB">
    <w:pPr>
      <w:pStyle w:val="Encabezado"/>
      <w:tabs>
        <w:tab w:val="left" w:pos="4860"/>
      </w:tabs>
      <w:ind w:right="846"/>
      <w:jc w:val="right"/>
      <w:rPr>
        <w:rFonts w:ascii="Romana BT" w:hAnsi="Romana BT"/>
        <w:b/>
        <w:sz w:val="16"/>
        <w:szCs w:val="16"/>
      </w:rPr>
    </w:pPr>
  </w:p>
  <w:p w14:paraId="34639875" w14:textId="77777777" w:rsidR="006E072E" w:rsidRPr="002246FB" w:rsidRDefault="006E072E" w:rsidP="002246FB">
    <w:pPr>
      <w:pStyle w:val="Encabezado"/>
      <w:tabs>
        <w:tab w:val="clear" w:pos="4419"/>
        <w:tab w:val="clear" w:pos="8838"/>
        <w:tab w:val="center" w:pos="4252"/>
        <w:tab w:val="left" w:pos="4860"/>
        <w:tab w:val="right" w:pos="8504"/>
      </w:tabs>
      <w:ind w:right="846"/>
      <w:jc w:val="right"/>
      <w:rPr>
        <w:rFonts w:ascii="Romana BT" w:eastAsia="Times New Roman" w:hAnsi="Romana BT" w:cs="Arial"/>
        <w:b/>
        <w:iCs/>
        <w:sz w:val="16"/>
        <w:szCs w:val="16"/>
        <w:lang w:val="es-ES"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2F99"/>
    <w:multiLevelType w:val="hybridMultilevel"/>
    <w:tmpl w:val="5568CE9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15:restartNumberingAfterBreak="0">
    <w:nsid w:val="01AA74F7"/>
    <w:multiLevelType w:val="hybridMultilevel"/>
    <w:tmpl w:val="F80CA52C"/>
    <w:lvl w:ilvl="0" w:tplc="080A0015">
      <w:start w:val="1"/>
      <w:numFmt w:val="upperLetter"/>
      <w:lvlText w:val="%1."/>
      <w:lvlJc w:val="left"/>
      <w:pPr>
        <w:ind w:left="3555" w:hanging="360"/>
      </w:pPr>
    </w:lvl>
    <w:lvl w:ilvl="1" w:tplc="080A0019" w:tentative="1">
      <w:start w:val="1"/>
      <w:numFmt w:val="lowerLetter"/>
      <w:lvlText w:val="%2."/>
      <w:lvlJc w:val="left"/>
      <w:pPr>
        <w:ind w:left="4275" w:hanging="360"/>
      </w:pPr>
    </w:lvl>
    <w:lvl w:ilvl="2" w:tplc="080A001B" w:tentative="1">
      <w:start w:val="1"/>
      <w:numFmt w:val="lowerRoman"/>
      <w:lvlText w:val="%3."/>
      <w:lvlJc w:val="right"/>
      <w:pPr>
        <w:ind w:left="4995" w:hanging="180"/>
      </w:pPr>
    </w:lvl>
    <w:lvl w:ilvl="3" w:tplc="080A000F" w:tentative="1">
      <w:start w:val="1"/>
      <w:numFmt w:val="decimal"/>
      <w:lvlText w:val="%4."/>
      <w:lvlJc w:val="left"/>
      <w:pPr>
        <w:ind w:left="5715" w:hanging="360"/>
      </w:pPr>
    </w:lvl>
    <w:lvl w:ilvl="4" w:tplc="080A0019" w:tentative="1">
      <w:start w:val="1"/>
      <w:numFmt w:val="lowerLetter"/>
      <w:lvlText w:val="%5."/>
      <w:lvlJc w:val="left"/>
      <w:pPr>
        <w:ind w:left="6435" w:hanging="360"/>
      </w:pPr>
    </w:lvl>
    <w:lvl w:ilvl="5" w:tplc="080A001B" w:tentative="1">
      <w:start w:val="1"/>
      <w:numFmt w:val="lowerRoman"/>
      <w:lvlText w:val="%6."/>
      <w:lvlJc w:val="right"/>
      <w:pPr>
        <w:ind w:left="7155" w:hanging="180"/>
      </w:pPr>
    </w:lvl>
    <w:lvl w:ilvl="6" w:tplc="080A000F" w:tentative="1">
      <w:start w:val="1"/>
      <w:numFmt w:val="decimal"/>
      <w:lvlText w:val="%7."/>
      <w:lvlJc w:val="left"/>
      <w:pPr>
        <w:ind w:left="7875" w:hanging="360"/>
      </w:pPr>
    </w:lvl>
    <w:lvl w:ilvl="7" w:tplc="080A0019" w:tentative="1">
      <w:start w:val="1"/>
      <w:numFmt w:val="lowerLetter"/>
      <w:lvlText w:val="%8."/>
      <w:lvlJc w:val="left"/>
      <w:pPr>
        <w:ind w:left="8595" w:hanging="360"/>
      </w:pPr>
    </w:lvl>
    <w:lvl w:ilvl="8" w:tplc="080A001B" w:tentative="1">
      <w:start w:val="1"/>
      <w:numFmt w:val="lowerRoman"/>
      <w:lvlText w:val="%9."/>
      <w:lvlJc w:val="right"/>
      <w:pPr>
        <w:ind w:left="9315" w:hanging="180"/>
      </w:pPr>
    </w:lvl>
  </w:abstractNum>
  <w:abstractNum w:abstractNumId="2" w15:restartNumberingAfterBreak="0">
    <w:nsid w:val="01BD638D"/>
    <w:multiLevelType w:val="hybridMultilevel"/>
    <w:tmpl w:val="B1745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23D1645"/>
    <w:multiLevelType w:val="hybridMultilevel"/>
    <w:tmpl w:val="5BB6C4AA"/>
    <w:lvl w:ilvl="0" w:tplc="080A000D">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2A702DF"/>
    <w:multiLevelType w:val="hybridMultilevel"/>
    <w:tmpl w:val="937438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579356B"/>
    <w:multiLevelType w:val="hybridMultilevel"/>
    <w:tmpl w:val="2B061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7E22ACB"/>
    <w:multiLevelType w:val="hybridMultilevel"/>
    <w:tmpl w:val="EFD8D0B6"/>
    <w:lvl w:ilvl="0" w:tplc="DDA4A120">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92B6FF6"/>
    <w:multiLevelType w:val="hybridMultilevel"/>
    <w:tmpl w:val="040220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0B655FB7"/>
    <w:multiLevelType w:val="hybridMultilevel"/>
    <w:tmpl w:val="4FE46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C25148C"/>
    <w:multiLevelType w:val="hybridMultilevel"/>
    <w:tmpl w:val="D12E735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0F431F48"/>
    <w:multiLevelType w:val="hybridMultilevel"/>
    <w:tmpl w:val="A28C4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00662FB"/>
    <w:multiLevelType w:val="hybridMultilevel"/>
    <w:tmpl w:val="08388F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1E94FFF"/>
    <w:multiLevelType w:val="hybridMultilevel"/>
    <w:tmpl w:val="6E8692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132474AB"/>
    <w:multiLevelType w:val="hybridMultilevel"/>
    <w:tmpl w:val="5008DBA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AB4179"/>
    <w:multiLevelType w:val="hybridMultilevel"/>
    <w:tmpl w:val="2570985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1955119D"/>
    <w:multiLevelType w:val="hybridMultilevel"/>
    <w:tmpl w:val="E64A451C"/>
    <w:lvl w:ilvl="0" w:tplc="080A0015">
      <w:start w:val="1"/>
      <w:numFmt w:val="upp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19C136A6"/>
    <w:multiLevelType w:val="hybridMultilevel"/>
    <w:tmpl w:val="70C8290A"/>
    <w:lvl w:ilvl="0" w:tplc="080A0013">
      <w:start w:val="1"/>
      <w:numFmt w:val="upperRoman"/>
      <w:lvlText w:val="%1."/>
      <w:lvlJc w:val="right"/>
      <w:pPr>
        <w:ind w:left="3555" w:hanging="360"/>
      </w:pPr>
    </w:lvl>
    <w:lvl w:ilvl="1" w:tplc="080A0019" w:tentative="1">
      <w:start w:val="1"/>
      <w:numFmt w:val="lowerLetter"/>
      <w:lvlText w:val="%2."/>
      <w:lvlJc w:val="left"/>
      <w:pPr>
        <w:ind w:left="4275" w:hanging="360"/>
      </w:pPr>
    </w:lvl>
    <w:lvl w:ilvl="2" w:tplc="080A001B" w:tentative="1">
      <w:start w:val="1"/>
      <w:numFmt w:val="lowerRoman"/>
      <w:lvlText w:val="%3."/>
      <w:lvlJc w:val="right"/>
      <w:pPr>
        <w:ind w:left="4995" w:hanging="180"/>
      </w:pPr>
    </w:lvl>
    <w:lvl w:ilvl="3" w:tplc="080A000F" w:tentative="1">
      <w:start w:val="1"/>
      <w:numFmt w:val="decimal"/>
      <w:lvlText w:val="%4."/>
      <w:lvlJc w:val="left"/>
      <w:pPr>
        <w:ind w:left="5715" w:hanging="360"/>
      </w:pPr>
    </w:lvl>
    <w:lvl w:ilvl="4" w:tplc="080A0019" w:tentative="1">
      <w:start w:val="1"/>
      <w:numFmt w:val="lowerLetter"/>
      <w:lvlText w:val="%5."/>
      <w:lvlJc w:val="left"/>
      <w:pPr>
        <w:ind w:left="6435" w:hanging="360"/>
      </w:pPr>
    </w:lvl>
    <w:lvl w:ilvl="5" w:tplc="080A001B" w:tentative="1">
      <w:start w:val="1"/>
      <w:numFmt w:val="lowerRoman"/>
      <w:lvlText w:val="%6."/>
      <w:lvlJc w:val="right"/>
      <w:pPr>
        <w:ind w:left="7155" w:hanging="180"/>
      </w:pPr>
    </w:lvl>
    <w:lvl w:ilvl="6" w:tplc="080A000F" w:tentative="1">
      <w:start w:val="1"/>
      <w:numFmt w:val="decimal"/>
      <w:lvlText w:val="%7."/>
      <w:lvlJc w:val="left"/>
      <w:pPr>
        <w:ind w:left="7875" w:hanging="360"/>
      </w:pPr>
    </w:lvl>
    <w:lvl w:ilvl="7" w:tplc="080A0019" w:tentative="1">
      <w:start w:val="1"/>
      <w:numFmt w:val="lowerLetter"/>
      <w:lvlText w:val="%8."/>
      <w:lvlJc w:val="left"/>
      <w:pPr>
        <w:ind w:left="8595" w:hanging="360"/>
      </w:pPr>
    </w:lvl>
    <w:lvl w:ilvl="8" w:tplc="080A001B" w:tentative="1">
      <w:start w:val="1"/>
      <w:numFmt w:val="lowerRoman"/>
      <w:lvlText w:val="%9."/>
      <w:lvlJc w:val="right"/>
      <w:pPr>
        <w:ind w:left="9315" w:hanging="180"/>
      </w:pPr>
    </w:lvl>
  </w:abstractNum>
  <w:abstractNum w:abstractNumId="19" w15:restartNumberingAfterBreak="0">
    <w:nsid w:val="1C8147C0"/>
    <w:multiLevelType w:val="hybridMultilevel"/>
    <w:tmpl w:val="AF98D48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1E9A210E"/>
    <w:multiLevelType w:val="hybridMultilevel"/>
    <w:tmpl w:val="99D40A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3AA5B08"/>
    <w:multiLevelType w:val="hybridMultilevel"/>
    <w:tmpl w:val="BE02E9A8"/>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2" w15:restartNumberingAfterBreak="0">
    <w:nsid w:val="24837560"/>
    <w:multiLevelType w:val="hybridMultilevel"/>
    <w:tmpl w:val="60CAA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7633365"/>
    <w:multiLevelType w:val="hybridMultilevel"/>
    <w:tmpl w:val="E482D0C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2AFC4478"/>
    <w:multiLevelType w:val="hybridMultilevel"/>
    <w:tmpl w:val="D4C2AC16"/>
    <w:lvl w:ilvl="0" w:tplc="080A0001">
      <w:start w:val="1"/>
      <w:numFmt w:val="bullet"/>
      <w:lvlText w:val=""/>
      <w:lvlJc w:val="left"/>
      <w:pPr>
        <w:ind w:left="1776" w:hanging="360"/>
      </w:pPr>
      <w:rPr>
        <w:rFonts w:ascii="Symbol" w:hAnsi="Symbol"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7" w15:restartNumberingAfterBreak="0">
    <w:nsid w:val="388A4EDB"/>
    <w:multiLevelType w:val="hybridMultilevel"/>
    <w:tmpl w:val="BE36CFE0"/>
    <w:lvl w:ilvl="0" w:tplc="080A0001">
      <w:start w:val="1"/>
      <w:numFmt w:val="bullet"/>
      <w:lvlText w:val=""/>
      <w:lvlJc w:val="left"/>
      <w:pPr>
        <w:ind w:left="1065" w:hanging="360"/>
      </w:pPr>
      <w:rPr>
        <w:rFonts w:ascii="Symbol" w:hAnsi="Symbo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28" w15:restartNumberingAfterBreak="0">
    <w:nsid w:val="3FD87D8D"/>
    <w:multiLevelType w:val="hybridMultilevel"/>
    <w:tmpl w:val="C1AC8F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2015A6F"/>
    <w:multiLevelType w:val="hybridMultilevel"/>
    <w:tmpl w:val="2910AC0C"/>
    <w:lvl w:ilvl="0" w:tplc="0C0A0001">
      <w:start w:val="1"/>
      <w:numFmt w:val="bullet"/>
      <w:lvlText w:val=""/>
      <w:lvlJc w:val="left"/>
      <w:pPr>
        <w:tabs>
          <w:tab w:val="num" w:pos="414"/>
        </w:tabs>
        <w:ind w:left="414"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2E1CBC"/>
    <w:multiLevelType w:val="hybridMultilevel"/>
    <w:tmpl w:val="26A29DDE"/>
    <w:lvl w:ilvl="0" w:tplc="080A0001">
      <w:start w:val="1"/>
      <w:numFmt w:val="bullet"/>
      <w:lvlText w:val=""/>
      <w:lvlJc w:val="left"/>
      <w:pPr>
        <w:ind w:left="1077" w:hanging="360"/>
      </w:pPr>
      <w:rPr>
        <w:rFonts w:ascii="Symbol" w:hAnsi="Symbol" w:hint="default"/>
      </w:rPr>
    </w:lvl>
    <w:lvl w:ilvl="1" w:tplc="080A0003">
      <w:start w:val="1"/>
      <w:numFmt w:val="bullet"/>
      <w:lvlText w:val="o"/>
      <w:lvlJc w:val="left"/>
      <w:pPr>
        <w:ind w:left="1797" w:hanging="360"/>
      </w:pPr>
      <w:rPr>
        <w:rFonts w:ascii="Courier New" w:hAnsi="Courier New" w:cs="Courier New" w:hint="default"/>
      </w:rPr>
    </w:lvl>
    <w:lvl w:ilvl="2" w:tplc="080A0005">
      <w:start w:val="1"/>
      <w:numFmt w:val="bullet"/>
      <w:lvlText w:val=""/>
      <w:lvlJc w:val="left"/>
      <w:pPr>
        <w:ind w:left="2517" w:hanging="360"/>
      </w:pPr>
      <w:rPr>
        <w:rFonts w:ascii="Wingdings" w:hAnsi="Wingdings" w:hint="default"/>
      </w:rPr>
    </w:lvl>
    <w:lvl w:ilvl="3" w:tplc="080A0001">
      <w:start w:val="1"/>
      <w:numFmt w:val="bullet"/>
      <w:lvlText w:val=""/>
      <w:lvlJc w:val="left"/>
      <w:pPr>
        <w:ind w:left="3237" w:hanging="360"/>
      </w:pPr>
      <w:rPr>
        <w:rFonts w:ascii="Symbol" w:hAnsi="Symbol" w:hint="default"/>
      </w:rPr>
    </w:lvl>
    <w:lvl w:ilvl="4" w:tplc="080A0003">
      <w:start w:val="1"/>
      <w:numFmt w:val="bullet"/>
      <w:lvlText w:val="o"/>
      <w:lvlJc w:val="left"/>
      <w:pPr>
        <w:ind w:left="3957" w:hanging="360"/>
      </w:pPr>
      <w:rPr>
        <w:rFonts w:ascii="Courier New" w:hAnsi="Courier New" w:cs="Courier New" w:hint="default"/>
      </w:rPr>
    </w:lvl>
    <w:lvl w:ilvl="5" w:tplc="080A0005">
      <w:start w:val="1"/>
      <w:numFmt w:val="bullet"/>
      <w:lvlText w:val=""/>
      <w:lvlJc w:val="left"/>
      <w:pPr>
        <w:ind w:left="4677" w:hanging="360"/>
      </w:pPr>
      <w:rPr>
        <w:rFonts w:ascii="Wingdings" w:hAnsi="Wingdings" w:hint="default"/>
      </w:rPr>
    </w:lvl>
    <w:lvl w:ilvl="6" w:tplc="080A0001">
      <w:start w:val="1"/>
      <w:numFmt w:val="bullet"/>
      <w:lvlText w:val=""/>
      <w:lvlJc w:val="left"/>
      <w:pPr>
        <w:ind w:left="5397" w:hanging="360"/>
      </w:pPr>
      <w:rPr>
        <w:rFonts w:ascii="Symbol" w:hAnsi="Symbol" w:hint="default"/>
      </w:rPr>
    </w:lvl>
    <w:lvl w:ilvl="7" w:tplc="080A0003">
      <w:start w:val="1"/>
      <w:numFmt w:val="bullet"/>
      <w:lvlText w:val="o"/>
      <w:lvlJc w:val="left"/>
      <w:pPr>
        <w:ind w:left="6117" w:hanging="360"/>
      </w:pPr>
      <w:rPr>
        <w:rFonts w:ascii="Courier New" w:hAnsi="Courier New" w:cs="Courier New" w:hint="default"/>
      </w:rPr>
    </w:lvl>
    <w:lvl w:ilvl="8" w:tplc="080A0005">
      <w:start w:val="1"/>
      <w:numFmt w:val="bullet"/>
      <w:lvlText w:val=""/>
      <w:lvlJc w:val="left"/>
      <w:pPr>
        <w:ind w:left="6837" w:hanging="360"/>
      </w:pPr>
      <w:rPr>
        <w:rFonts w:ascii="Wingdings" w:hAnsi="Wingdings" w:hint="default"/>
      </w:rPr>
    </w:lvl>
  </w:abstractNum>
  <w:abstractNum w:abstractNumId="31" w15:restartNumberingAfterBreak="0">
    <w:nsid w:val="4E0E4439"/>
    <w:multiLevelType w:val="hybridMultilevel"/>
    <w:tmpl w:val="0D7CB70C"/>
    <w:lvl w:ilvl="0" w:tplc="080A0001">
      <w:start w:val="1"/>
      <w:numFmt w:val="bullet"/>
      <w:lvlText w:val=""/>
      <w:lvlJc w:val="left"/>
      <w:pPr>
        <w:ind w:left="5747"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3745216"/>
    <w:multiLevelType w:val="hybridMultilevel"/>
    <w:tmpl w:val="98905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94858B2"/>
    <w:multiLevelType w:val="hybridMultilevel"/>
    <w:tmpl w:val="DBC83BB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5" w15:restartNumberingAfterBreak="0">
    <w:nsid w:val="6B5C07FC"/>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B637D7E"/>
    <w:multiLevelType w:val="hybridMultilevel"/>
    <w:tmpl w:val="43E8A7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7"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8" w15:restartNumberingAfterBreak="0">
    <w:nsid w:val="6FC355E3"/>
    <w:multiLevelType w:val="hybridMultilevel"/>
    <w:tmpl w:val="43404E6E"/>
    <w:lvl w:ilvl="0" w:tplc="080A000D">
      <w:start w:val="1"/>
      <w:numFmt w:val="bullet"/>
      <w:lvlText w:val=""/>
      <w:lvlJc w:val="left"/>
      <w:pPr>
        <w:ind w:left="1296" w:hanging="360"/>
      </w:pPr>
      <w:rPr>
        <w:rFonts w:ascii="Wingdings" w:hAnsi="Wingdings" w:hint="default"/>
      </w:rPr>
    </w:lvl>
    <w:lvl w:ilvl="1" w:tplc="080A0003" w:tentative="1">
      <w:start w:val="1"/>
      <w:numFmt w:val="bullet"/>
      <w:lvlText w:val="o"/>
      <w:lvlJc w:val="left"/>
      <w:pPr>
        <w:ind w:left="2016" w:hanging="360"/>
      </w:pPr>
      <w:rPr>
        <w:rFonts w:ascii="Courier New" w:hAnsi="Courier New" w:cs="Courier New" w:hint="default"/>
      </w:rPr>
    </w:lvl>
    <w:lvl w:ilvl="2" w:tplc="080A0005" w:tentative="1">
      <w:start w:val="1"/>
      <w:numFmt w:val="bullet"/>
      <w:lvlText w:val=""/>
      <w:lvlJc w:val="left"/>
      <w:pPr>
        <w:ind w:left="2736" w:hanging="360"/>
      </w:pPr>
      <w:rPr>
        <w:rFonts w:ascii="Wingdings" w:hAnsi="Wingdings" w:hint="default"/>
      </w:rPr>
    </w:lvl>
    <w:lvl w:ilvl="3" w:tplc="080A0001" w:tentative="1">
      <w:start w:val="1"/>
      <w:numFmt w:val="bullet"/>
      <w:lvlText w:val=""/>
      <w:lvlJc w:val="left"/>
      <w:pPr>
        <w:ind w:left="3456" w:hanging="360"/>
      </w:pPr>
      <w:rPr>
        <w:rFonts w:ascii="Symbol" w:hAnsi="Symbol" w:hint="default"/>
      </w:rPr>
    </w:lvl>
    <w:lvl w:ilvl="4" w:tplc="080A0003" w:tentative="1">
      <w:start w:val="1"/>
      <w:numFmt w:val="bullet"/>
      <w:lvlText w:val="o"/>
      <w:lvlJc w:val="left"/>
      <w:pPr>
        <w:ind w:left="4176" w:hanging="360"/>
      </w:pPr>
      <w:rPr>
        <w:rFonts w:ascii="Courier New" w:hAnsi="Courier New" w:cs="Courier New" w:hint="default"/>
      </w:rPr>
    </w:lvl>
    <w:lvl w:ilvl="5" w:tplc="080A0005" w:tentative="1">
      <w:start w:val="1"/>
      <w:numFmt w:val="bullet"/>
      <w:lvlText w:val=""/>
      <w:lvlJc w:val="left"/>
      <w:pPr>
        <w:ind w:left="4896" w:hanging="360"/>
      </w:pPr>
      <w:rPr>
        <w:rFonts w:ascii="Wingdings" w:hAnsi="Wingdings" w:hint="default"/>
      </w:rPr>
    </w:lvl>
    <w:lvl w:ilvl="6" w:tplc="080A0001" w:tentative="1">
      <w:start w:val="1"/>
      <w:numFmt w:val="bullet"/>
      <w:lvlText w:val=""/>
      <w:lvlJc w:val="left"/>
      <w:pPr>
        <w:ind w:left="5616" w:hanging="360"/>
      </w:pPr>
      <w:rPr>
        <w:rFonts w:ascii="Symbol" w:hAnsi="Symbol" w:hint="default"/>
      </w:rPr>
    </w:lvl>
    <w:lvl w:ilvl="7" w:tplc="080A0003" w:tentative="1">
      <w:start w:val="1"/>
      <w:numFmt w:val="bullet"/>
      <w:lvlText w:val="o"/>
      <w:lvlJc w:val="left"/>
      <w:pPr>
        <w:ind w:left="6336" w:hanging="360"/>
      </w:pPr>
      <w:rPr>
        <w:rFonts w:ascii="Courier New" w:hAnsi="Courier New" w:cs="Courier New" w:hint="default"/>
      </w:rPr>
    </w:lvl>
    <w:lvl w:ilvl="8" w:tplc="080A0005" w:tentative="1">
      <w:start w:val="1"/>
      <w:numFmt w:val="bullet"/>
      <w:lvlText w:val=""/>
      <w:lvlJc w:val="left"/>
      <w:pPr>
        <w:ind w:left="7056" w:hanging="360"/>
      </w:pPr>
      <w:rPr>
        <w:rFonts w:ascii="Wingdings" w:hAnsi="Wingdings" w:hint="default"/>
      </w:rPr>
    </w:lvl>
  </w:abstractNum>
  <w:abstractNum w:abstractNumId="39" w15:restartNumberingAfterBreak="0">
    <w:nsid w:val="6FDA4504"/>
    <w:multiLevelType w:val="hybridMultilevel"/>
    <w:tmpl w:val="44B09376"/>
    <w:lvl w:ilvl="0" w:tplc="51661BD6">
      <w:numFmt w:val="bullet"/>
      <w:lvlText w:val=""/>
      <w:lvlJc w:val="left"/>
      <w:pPr>
        <w:ind w:left="360" w:hanging="360"/>
      </w:pPr>
      <w:rPr>
        <w:rFonts w:ascii="Symbol" w:eastAsiaTheme="minorHAnsi" w:hAnsi="Symbo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15:restartNumberingAfterBreak="0">
    <w:nsid w:val="72E175F7"/>
    <w:multiLevelType w:val="hybridMultilevel"/>
    <w:tmpl w:val="36FEF55E"/>
    <w:lvl w:ilvl="0" w:tplc="080A000D">
      <w:start w:val="1"/>
      <w:numFmt w:val="bullet"/>
      <w:lvlText w:val=""/>
      <w:lvlJc w:val="left"/>
      <w:pPr>
        <w:ind w:left="36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658679D"/>
    <w:multiLevelType w:val="hybridMultilevel"/>
    <w:tmpl w:val="775A51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B4C5581"/>
    <w:multiLevelType w:val="hybridMultilevel"/>
    <w:tmpl w:val="1632FC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CF339D4"/>
    <w:multiLevelType w:val="hybridMultilevel"/>
    <w:tmpl w:val="610A36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D4647FE"/>
    <w:multiLevelType w:val="hybridMultilevel"/>
    <w:tmpl w:val="644AD90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26"/>
  </w:num>
  <w:num w:numId="2">
    <w:abstractNumId w:val="27"/>
  </w:num>
  <w:num w:numId="3">
    <w:abstractNumId w:val="40"/>
  </w:num>
  <w:num w:numId="4">
    <w:abstractNumId w:val="4"/>
  </w:num>
  <w:num w:numId="5">
    <w:abstractNumId w:val="3"/>
  </w:num>
  <w:num w:numId="6">
    <w:abstractNumId w:val="21"/>
  </w:num>
  <w:num w:numId="7">
    <w:abstractNumId w:val="43"/>
  </w:num>
  <w:num w:numId="8">
    <w:abstractNumId w:val="38"/>
  </w:num>
  <w:num w:numId="9">
    <w:abstractNumId w:val="42"/>
  </w:num>
  <w:num w:numId="10">
    <w:abstractNumId w:val="31"/>
  </w:num>
  <w:num w:numId="11">
    <w:abstractNumId w:val="5"/>
  </w:num>
  <w:num w:numId="12">
    <w:abstractNumId w:val="29"/>
  </w:num>
  <w:num w:numId="13">
    <w:abstractNumId w:val="36"/>
  </w:num>
  <w:num w:numId="14">
    <w:abstractNumId w:val="6"/>
  </w:num>
  <w:num w:numId="15">
    <w:abstractNumId w:val="44"/>
  </w:num>
  <w:num w:numId="16">
    <w:abstractNumId w:val="16"/>
  </w:num>
  <w:num w:numId="17">
    <w:abstractNumId w:val="19"/>
  </w:num>
  <w:num w:numId="18">
    <w:abstractNumId w:val="8"/>
  </w:num>
  <w:num w:numId="19">
    <w:abstractNumId w:val="24"/>
  </w:num>
  <w:num w:numId="20">
    <w:abstractNumId w:val="28"/>
  </w:num>
  <w:num w:numId="21">
    <w:abstractNumId w:val="35"/>
  </w:num>
  <w:num w:numId="22">
    <w:abstractNumId w:val="7"/>
  </w:num>
  <w:num w:numId="23">
    <w:abstractNumId w:val="39"/>
  </w:num>
  <w:num w:numId="24">
    <w:abstractNumId w:val="23"/>
  </w:num>
  <w:num w:numId="25">
    <w:abstractNumId w:val="12"/>
  </w:num>
  <w:num w:numId="26">
    <w:abstractNumId w:val="15"/>
  </w:num>
  <w:num w:numId="27">
    <w:abstractNumId w:val="25"/>
  </w:num>
  <w:num w:numId="28">
    <w:abstractNumId w:val="37"/>
  </w:num>
  <w:num w:numId="29">
    <w:abstractNumId w:val="14"/>
  </w:num>
  <w:num w:numId="30">
    <w:abstractNumId w:val="33"/>
  </w:num>
  <w:num w:numId="31">
    <w:abstractNumId w:val="11"/>
  </w:num>
  <w:num w:numId="32">
    <w:abstractNumId w:val="30"/>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1"/>
  </w:num>
  <w:num w:numId="36">
    <w:abstractNumId w:val="17"/>
  </w:num>
  <w:num w:numId="37">
    <w:abstractNumId w:val="18"/>
  </w:num>
  <w:num w:numId="38">
    <w:abstractNumId w:val="22"/>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10"/>
  </w:num>
  <w:num w:numId="42">
    <w:abstractNumId w:val="9"/>
  </w:num>
  <w:num w:numId="43">
    <w:abstractNumId w:val="41"/>
  </w:num>
  <w:num w:numId="44">
    <w:abstractNumId w:val="34"/>
  </w:num>
  <w:num w:numId="45">
    <w:abstractNumId w:val="32"/>
  </w:num>
  <w:num w:numId="46">
    <w:abstractNumId w:val="13"/>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7283"/>
    <w:rsid w:val="00002904"/>
    <w:rsid w:val="000116EA"/>
    <w:rsid w:val="0002371A"/>
    <w:rsid w:val="00027015"/>
    <w:rsid w:val="0003477B"/>
    <w:rsid w:val="00045F9A"/>
    <w:rsid w:val="00055DD9"/>
    <w:rsid w:val="000641E9"/>
    <w:rsid w:val="00064BB7"/>
    <w:rsid w:val="00066A6B"/>
    <w:rsid w:val="00076838"/>
    <w:rsid w:val="00080B34"/>
    <w:rsid w:val="00081178"/>
    <w:rsid w:val="000942FB"/>
    <w:rsid w:val="000A1384"/>
    <w:rsid w:val="000A1855"/>
    <w:rsid w:val="000A3CF4"/>
    <w:rsid w:val="000A74A8"/>
    <w:rsid w:val="000B2064"/>
    <w:rsid w:val="000C373A"/>
    <w:rsid w:val="000F4D55"/>
    <w:rsid w:val="000F7E26"/>
    <w:rsid w:val="001003B2"/>
    <w:rsid w:val="00101E7E"/>
    <w:rsid w:val="00114860"/>
    <w:rsid w:val="001270B1"/>
    <w:rsid w:val="00127568"/>
    <w:rsid w:val="001306B0"/>
    <w:rsid w:val="00131C9C"/>
    <w:rsid w:val="00132913"/>
    <w:rsid w:val="001346F8"/>
    <w:rsid w:val="00134780"/>
    <w:rsid w:val="00157F24"/>
    <w:rsid w:val="00163A95"/>
    <w:rsid w:val="00164B5D"/>
    <w:rsid w:val="00180E62"/>
    <w:rsid w:val="00191EAF"/>
    <w:rsid w:val="001A4804"/>
    <w:rsid w:val="001A56A2"/>
    <w:rsid w:val="001C32AD"/>
    <w:rsid w:val="001E0633"/>
    <w:rsid w:val="001F2A7E"/>
    <w:rsid w:val="001F46A0"/>
    <w:rsid w:val="00202E61"/>
    <w:rsid w:val="00215FB3"/>
    <w:rsid w:val="002246FB"/>
    <w:rsid w:val="0023564E"/>
    <w:rsid w:val="00261F2C"/>
    <w:rsid w:val="00263490"/>
    <w:rsid w:val="0026489A"/>
    <w:rsid w:val="00293485"/>
    <w:rsid w:val="002A3120"/>
    <w:rsid w:val="002A3122"/>
    <w:rsid w:val="002A355A"/>
    <w:rsid w:val="002B00C4"/>
    <w:rsid w:val="002C11A1"/>
    <w:rsid w:val="00304035"/>
    <w:rsid w:val="00337BF5"/>
    <w:rsid w:val="00357440"/>
    <w:rsid w:val="00364949"/>
    <w:rsid w:val="00364F67"/>
    <w:rsid w:val="00366852"/>
    <w:rsid w:val="003A214A"/>
    <w:rsid w:val="003A6B56"/>
    <w:rsid w:val="003C259B"/>
    <w:rsid w:val="003C5341"/>
    <w:rsid w:val="003C68AC"/>
    <w:rsid w:val="003C6973"/>
    <w:rsid w:val="003D133A"/>
    <w:rsid w:val="003D588C"/>
    <w:rsid w:val="003D6F63"/>
    <w:rsid w:val="003F5279"/>
    <w:rsid w:val="00425FF6"/>
    <w:rsid w:val="00437E34"/>
    <w:rsid w:val="00440CD0"/>
    <w:rsid w:val="004428C1"/>
    <w:rsid w:val="00447573"/>
    <w:rsid w:val="00464E9C"/>
    <w:rsid w:val="00470BC1"/>
    <w:rsid w:val="00470C74"/>
    <w:rsid w:val="00490F5F"/>
    <w:rsid w:val="004A2DBC"/>
    <w:rsid w:val="004A329F"/>
    <w:rsid w:val="004A70CE"/>
    <w:rsid w:val="004B16FD"/>
    <w:rsid w:val="004B2D41"/>
    <w:rsid w:val="004B55D3"/>
    <w:rsid w:val="004B62BB"/>
    <w:rsid w:val="004C3664"/>
    <w:rsid w:val="004C5DB5"/>
    <w:rsid w:val="004C71DA"/>
    <w:rsid w:val="004D38E0"/>
    <w:rsid w:val="004F1ECF"/>
    <w:rsid w:val="004F6756"/>
    <w:rsid w:val="004F6B8B"/>
    <w:rsid w:val="004F7F06"/>
    <w:rsid w:val="00513049"/>
    <w:rsid w:val="00547581"/>
    <w:rsid w:val="005666F0"/>
    <w:rsid w:val="00584043"/>
    <w:rsid w:val="00585EC2"/>
    <w:rsid w:val="005A02CC"/>
    <w:rsid w:val="005A110D"/>
    <w:rsid w:val="005A1FFB"/>
    <w:rsid w:val="005A33BB"/>
    <w:rsid w:val="005B2131"/>
    <w:rsid w:val="005B5031"/>
    <w:rsid w:val="005C384A"/>
    <w:rsid w:val="005C474D"/>
    <w:rsid w:val="005C5BCB"/>
    <w:rsid w:val="005D311A"/>
    <w:rsid w:val="005D5FB4"/>
    <w:rsid w:val="005F0286"/>
    <w:rsid w:val="005F735A"/>
    <w:rsid w:val="00600B2F"/>
    <w:rsid w:val="00605D8B"/>
    <w:rsid w:val="0061358A"/>
    <w:rsid w:val="00615A5C"/>
    <w:rsid w:val="00615B41"/>
    <w:rsid w:val="00632873"/>
    <w:rsid w:val="0063308F"/>
    <w:rsid w:val="00633D2F"/>
    <w:rsid w:val="006353D1"/>
    <w:rsid w:val="00641F91"/>
    <w:rsid w:val="00653DB5"/>
    <w:rsid w:val="006540EF"/>
    <w:rsid w:val="00663EA7"/>
    <w:rsid w:val="006813F9"/>
    <w:rsid w:val="00684883"/>
    <w:rsid w:val="00686EDD"/>
    <w:rsid w:val="00696A19"/>
    <w:rsid w:val="00697BF5"/>
    <w:rsid w:val="006A246D"/>
    <w:rsid w:val="006B3595"/>
    <w:rsid w:val="006B58C7"/>
    <w:rsid w:val="006C3ABB"/>
    <w:rsid w:val="006E072E"/>
    <w:rsid w:val="006E2ED6"/>
    <w:rsid w:val="00716809"/>
    <w:rsid w:val="0073290D"/>
    <w:rsid w:val="007346C4"/>
    <w:rsid w:val="00740DD3"/>
    <w:rsid w:val="00746585"/>
    <w:rsid w:val="00746DC5"/>
    <w:rsid w:val="0075780B"/>
    <w:rsid w:val="0076172A"/>
    <w:rsid w:val="0079018D"/>
    <w:rsid w:val="00795B47"/>
    <w:rsid w:val="007A3157"/>
    <w:rsid w:val="007A4034"/>
    <w:rsid w:val="007B5D1B"/>
    <w:rsid w:val="007D3981"/>
    <w:rsid w:val="007D7CD2"/>
    <w:rsid w:val="0080132D"/>
    <w:rsid w:val="0080197A"/>
    <w:rsid w:val="00804B3D"/>
    <w:rsid w:val="00804FE2"/>
    <w:rsid w:val="00830128"/>
    <w:rsid w:val="0083337A"/>
    <w:rsid w:val="008373A9"/>
    <w:rsid w:val="00846BEE"/>
    <w:rsid w:val="008665D4"/>
    <w:rsid w:val="00873B14"/>
    <w:rsid w:val="00876199"/>
    <w:rsid w:val="00885B5B"/>
    <w:rsid w:val="008B227A"/>
    <w:rsid w:val="008B3E8E"/>
    <w:rsid w:val="008B7353"/>
    <w:rsid w:val="008C2313"/>
    <w:rsid w:val="008C652E"/>
    <w:rsid w:val="008C7CA9"/>
    <w:rsid w:val="008D2E45"/>
    <w:rsid w:val="008D627A"/>
    <w:rsid w:val="008E371A"/>
    <w:rsid w:val="008E4FCA"/>
    <w:rsid w:val="008F12F8"/>
    <w:rsid w:val="008F236C"/>
    <w:rsid w:val="009023DF"/>
    <w:rsid w:val="00922E82"/>
    <w:rsid w:val="00924DE6"/>
    <w:rsid w:val="009537A0"/>
    <w:rsid w:val="00977EA3"/>
    <w:rsid w:val="0098187C"/>
    <w:rsid w:val="009828C2"/>
    <w:rsid w:val="00985197"/>
    <w:rsid w:val="00986B33"/>
    <w:rsid w:val="009C621A"/>
    <w:rsid w:val="009D1F35"/>
    <w:rsid w:val="009D6782"/>
    <w:rsid w:val="009E7713"/>
    <w:rsid w:val="009F2F8D"/>
    <w:rsid w:val="009F5A01"/>
    <w:rsid w:val="00A00D1B"/>
    <w:rsid w:val="00A01F9B"/>
    <w:rsid w:val="00A066DB"/>
    <w:rsid w:val="00A25DE4"/>
    <w:rsid w:val="00A33F33"/>
    <w:rsid w:val="00A47856"/>
    <w:rsid w:val="00A57500"/>
    <w:rsid w:val="00A61C25"/>
    <w:rsid w:val="00A65C38"/>
    <w:rsid w:val="00A85213"/>
    <w:rsid w:val="00A87237"/>
    <w:rsid w:val="00A96D2C"/>
    <w:rsid w:val="00AA210B"/>
    <w:rsid w:val="00AA2E1A"/>
    <w:rsid w:val="00AA77B2"/>
    <w:rsid w:val="00AB01CE"/>
    <w:rsid w:val="00AB54E6"/>
    <w:rsid w:val="00AC7B4E"/>
    <w:rsid w:val="00AE6336"/>
    <w:rsid w:val="00AF705C"/>
    <w:rsid w:val="00AF720A"/>
    <w:rsid w:val="00B10540"/>
    <w:rsid w:val="00B21D86"/>
    <w:rsid w:val="00B268CF"/>
    <w:rsid w:val="00B3255B"/>
    <w:rsid w:val="00B43021"/>
    <w:rsid w:val="00B461F7"/>
    <w:rsid w:val="00B509A3"/>
    <w:rsid w:val="00B53C32"/>
    <w:rsid w:val="00B56C51"/>
    <w:rsid w:val="00B635C5"/>
    <w:rsid w:val="00B64082"/>
    <w:rsid w:val="00B73B95"/>
    <w:rsid w:val="00B77EDB"/>
    <w:rsid w:val="00BA142B"/>
    <w:rsid w:val="00BA34E5"/>
    <w:rsid w:val="00BC5C2E"/>
    <w:rsid w:val="00BE73F3"/>
    <w:rsid w:val="00C038E4"/>
    <w:rsid w:val="00C05F5B"/>
    <w:rsid w:val="00C219D7"/>
    <w:rsid w:val="00C34A4A"/>
    <w:rsid w:val="00C46502"/>
    <w:rsid w:val="00C46D5F"/>
    <w:rsid w:val="00C57694"/>
    <w:rsid w:val="00C640DC"/>
    <w:rsid w:val="00C709AC"/>
    <w:rsid w:val="00C8409A"/>
    <w:rsid w:val="00C90EBB"/>
    <w:rsid w:val="00C9299F"/>
    <w:rsid w:val="00C9335F"/>
    <w:rsid w:val="00CA7D82"/>
    <w:rsid w:val="00CB0BB7"/>
    <w:rsid w:val="00CB6EC8"/>
    <w:rsid w:val="00CB6FB1"/>
    <w:rsid w:val="00CD3198"/>
    <w:rsid w:val="00CF365E"/>
    <w:rsid w:val="00D063F8"/>
    <w:rsid w:val="00D10BDC"/>
    <w:rsid w:val="00D1733F"/>
    <w:rsid w:val="00D21C3D"/>
    <w:rsid w:val="00D22DD6"/>
    <w:rsid w:val="00D30417"/>
    <w:rsid w:val="00D30900"/>
    <w:rsid w:val="00D30BBF"/>
    <w:rsid w:val="00D31EAC"/>
    <w:rsid w:val="00D32B48"/>
    <w:rsid w:val="00D34EC8"/>
    <w:rsid w:val="00D373B8"/>
    <w:rsid w:val="00D56F42"/>
    <w:rsid w:val="00D56FE2"/>
    <w:rsid w:val="00D60D97"/>
    <w:rsid w:val="00D66277"/>
    <w:rsid w:val="00D7399F"/>
    <w:rsid w:val="00D95208"/>
    <w:rsid w:val="00D96093"/>
    <w:rsid w:val="00DB33E0"/>
    <w:rsid w:val="00DB7283"/>
    <w:rsid w:val="00DC2FFB"/>
    <w:rsid w:val="00DE7223"/>
    <w:rsid w:val="00DF2A2E"/>
    <w:rsid w:val="00E1215D"/>
    <w:rsid w:val="00E16862"/>
    <w:rsid w:val="00E243E6"/>
    <w:rsid w:val="00E24F39"/>
    <w:rsid w:val="00E27EEB"/>
    <w:rsid w:val="00E3680D"/>
    <w:rsid w:val="00E45AE1"/>
    <w:rsid w:val="00E501C0"/>
    <w:rsid w:val="00E50F6C"/>
    <w:rsid w:val="00E54BF6"/>
    <w:rsid w:val="00E57548"/>
    <w:rsid w:val="00E7509F"/>
    <w:rsid w:val="00E83013"/>
    <w:rsid w:val="00E91F23"/>
    <w:rsid w:val="00E93130"/>
    <w:rsid w:val="00E94C74"/>
    <w:rsid w:val="00EB75C4"/>
    <w:rsid w:val="00EC6607"/>
    <w:rsid w:val="00EC7943"/>
    <w:rsid w:val="00ED1229"/>
    <w:rsid w:val="00EE1A85"/>
    <w:rsid w:val="00EF7FC2"/>
    <w:rsid w:val="00F1234D"/>
    <w:rsid w:val="00F14FF7"/>
    <w:rsid w:val="00F159BD"/>
    <w:rsid w:val="00F15F39"/>
    <w:rsid w:val="00F16034"/>
    <w:rsid w:val="00F26B8D"/>
    <w:rsid w:val="00F30D86"/>
    <w:rsid w:val="00F51011"/>
    <w:rsid w:val="00F514C1"/>
    <w:rsid w:val="00F55119"/>
    <w:rsid w:val="00F552DC"/>
    <w:rsid w:val="00F61A38"/>
    <w:rsid w:val="00F63570"/>
    <w:rsid w:val="00F662F2"/>
    <w:rsid w:val="00F7767C"/>
    <w:rsid w:val="00F77B0F"/>
    <w:rsid w:val="00F80D6E"/>
    <w:rsid w:val="00F818CD"/>
    <w:rsid w:val="00F94B07"/>
    <w:rsid w:val="00FC22E9"/>
    <w:rsid w:val="00FC6C71"/>
    <w:rsid w:val="00FD003F"/>
    <w:rsid w:val="00FE61DF"/>
    <w:rsid w:val="00FE6CE7"/>
    <w:rsid w:val="00FF0D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CB829"/>
  <w15:docId w15:val="{796E17B5-CC7D-48F2-803A-62BE14F23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780B"/>
    <w:pPr>
      <w:spacing w:after="0" w:line="240" w:lineRule="auto"/>
    </w:pPr>
  </w:style>
  <w:style w:type="paragraph" w:styleId="Ttulo1">
    <w:name w:val="heading 1"/>
    <w:basedOn w:val="Normal"/>
    <w:next w:val="Normal"/>
    <w:link w:val="Ttulo1Car"/>
    <w:qFormat/>
    <w:rsid w:val="002C11A1"/>
    <w:pPr>
      <w:keepNext/>
      <w:keepLines/>
      <w:jc w:val="both"/>
      <w:outlineLvl w:val="0"/>
    </w:pPr>
    <w:rPr>
      <w:rFonts w:ascii="Arial" w:eastAsiaTheme="majorEastAsia" w:hAnsi="Arial" w:cstheme="majorBidi"/>
      <w:b/>
      <w:color w:val="9E213D" w:themeColor="accent2"/>
      <w:sz w:val="28"/>
      <w:szCs w:val="32"/>
    </w:rPr>
  </w:style>
  <w:style w:type="paragraph" w:styleId="Ttulo2">
    <w:name w:val="heading 2"/>
    <w:basedOn w:val="Normal"/>
    <w:next w:val="Normal"/>
    <w:link w:val="Ttulo2Car"/>
    <w:unhideWhenUsed/>
    <w:qFormat/>
    <w:rsid w:val="002C11A1"/>
    <w:pPr>
      <w:keepNext/>
      <w:keepLines/>
      <w:jc w:val="both"/>
      <w:outlineLvl w:val="1"/>
    </w:pPr>
    <w:rPr>
      <w:rFonts w:ascii="Arial" w:eastAsiaTheme="majorEastAsia" w:hAnsi="Arial" w:cstheme="majorBidi"/>
      <w:b/>
      <w:sz w:val="24"/>
      <w:szCs w:val="26"/>
    </w:rPr>
  </w:style>
  <w:style w:type="paragraph" w:styleId="Ttulo3">
    <w:name w:val="heading 3"/>
    <w:basedOn w:val="Normal"/>
    <w:next w:val="Normal"/>
    <w:link w:val="Ttulo3Car"/>
    <w:unhideWhenUsed/>
    <w:qFormat/>
    <w:rsid w:val="00F14FF7"/>
    <w:pPr>
      <w:keepNext/>
      <w:keepLines/>
      <w:spacing w:before="40"/>
      <w:outlineLvl w:val="2"/>
    </w:pPr>
    <w:rPr>
      <w:rFonts w:asciiTheme="majorHAnsi" w:eastAsiaTheme="majorEastAsia" w:hAnsiTheme="majorHAnsi" w:cstheme="majorBidi"/>
      <w:color w:val="5F552F" w:themeColor="accent1" w:themeShade="7F"/>
      <w:sz w:val="24"/>
      <w:szCs w:val="24"/>
    </w:rPr>
  </w:style>
  <w:style w:type="paragraph" w:styleId="Ttulo4">
    <w:name w:val="heading 4"/>
    <w:basedOn w:val="Normal"/>
    <w:next w:val="Normal"/>
    <w:link w:val="Ttulo4Car"/>
    <w:qFormat/>
    <w:rsid w:val="006E072E"/>
    <w:pPr>
      <w:keepNext/>
      <w:ind w:left="3402" w:hanging="3402"/>
      <w:jc w:val="center"/>
      <w:outlineLvl w:val="3"/>
    </w:pPr>
    <w:rPr>
      <w:rFonts w:ascii="Arial" w:eastAsia="Times New Roman" w:hAnsi="Arial" w:cs="Times New Roman"/>
      <w:i/>
      <w:sz w:val="24"/>
      <w:szCs w:val="24"/>
      <w:lang w:val="es-ES" w:eastAsia="es-ES"/>
    </w:rPr>
  </w:style>
  <w:style w:type="paragraph" w:styleId="Ttulo5">
    <w:name w:val="heading 5"/>
    <w:basedOn w:val="Normal"/>
    <w:next w:val="Normal"/>
    <w:link w:val="Ttulo5Car"/>
    <w:qFormat/>
    <w:rsid w:val="006E072E"/>
    <w:pPr>
      <w:keepNext/>
      <w:widowControl w:val="0"/>
      <w:jc w:val="center"/>
      <w:outlineLvl w:val="4"/>
    </w:pPr>
    <w:rPr>
      <w:rFonts w:ascii="Arial" w:eastAsia="Times New Roman" w:hAnsi="Arial" w:cs="Times New Roman"/>
      <w:i/>
      <w:sz w:val="24"/>
      <w:szCs w:val="20"/>
      <w:lang w:val="es-ES" w:eastAsia="es-ES"/>
    </w:rPr>
  </w:style>
  <w:style w:type="paragraph" w:styleId="Ttulo6">
    <w:name w:val="heading 6"/>
    <w:basedOn w:val="Normal"/>
    <w:next w:val="Normal"/>
    <w:link w:val="Ttulo6Car"/>
    <w:qFormat/>
    <w:rsid w:val="006E072E"/>
    <w:pPr>
      <w:keepNext/>
      <w:jc w:val="center"/>
      <w:outlineLvl w:val="5"/>
    </w:pPr>
    <w:rPr>
      <w:rFonts w:ascii="Arial" w:eastAsia="Times New Roman" w:hAnsi="Arial" w:cs="Times New Roman"/>
      <w:b/>
      <w:color w:val="000080"/>
      <w:sz w:val="24"/>
      <w:szCs w:val="24"/>
      <w:u w:val="single"/>
      <w:lang w:val="es-ES" w:eastAsia="es-ES"/>
    </w:rPr>
  </w:style>
  <w:style w:type="paragraph" w:styleId="Ttulo7">
    <w:name w:val="heading 7"/>
    <w:basedOn w:val="Normal"/>
    <w:next w:val="Normal"/>
    <w:link w:val="Ttulo7Car"/>
    <w:qFormat/>
    <w:rsid w:val="006E072E"/>
    <w:pPr>
      <w:spacing w:before="240" w:after="60"/>
      <w:outlineLvl w:val="6"/>
    </w:pPr>
    <w:rPr>
      <w:rFonts w:ascii="Times New Roman" w:eastAsia="Times New Roman" w:hAnsi="Times New Roman" w:cs="Times New Roman"/>
      <w:sz w:val="24"/>
      <w:szCs w:val="24"/>
      <w:lang w:val="es-ES" w:eastAsia="es-ES"/>
    </w:rPr>
  </w:style>
  <w:style w:type="paragraph" w:styleId="Ttulo8">
    <w:name w:val="heading 8"/>
    <w:basedOn w:val="Normal"/>
    <w:next w:val="Normal"/>
    <w:link w:val="Ttulo8Car"/>
    <w:qFormat/>
    <w:rsid w:val="006E072E"/>
    <w:pPr>
      <w:keepNext/>
      <w:outlineLvl w:val="7"/>
    </w:pPr>
    <w:rPr>
      <w:rFonts w:ascii="Arial" w:eastAsia="Times New Roman" w:hAnsi="Arial" w:cs="Times New Roman"/>
      <w:b/>
      <w:szCs w:val="24"/>
      <w:lang w:val="es-ES" w:eastAsia="es-ES"/>
    </w:rPr>
  </w:style>
  <w:style w:type="paragraph" w:styleId="Ttulo9">
    <w:name w:val="heading 9"/>
    <w:basedOn w:val="Normal"/>
    <w:next w:val="Normal"/>
    <w:link w:val="Ttulo9Car"/>
    <w:qFormat/>
    <w:rsid w:val="006E072E"/>
    <w:pPr>
      <w:spacing w:before="240" w:after="60"/>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C11A1"/>
    <w:rPr>
      <w:rFonts w:ascii="Arial" w:eastAsiaTheme="majorEastAsia" w:hAnsi="Arial" w:cstheme="majorBidi"/>
      <w:b/>
      <w:color w:val="9E213D" w:themeColor="accent2"/>
      <w:sz w:val="28"/>
      <w:szCs w:val="32"/>
    </w:rPr>
  </w:style>
  <w:style w:type="character" w:customStyle="1" w:styleId="Ttulo2Car">
    <w:name w:val="Título 2 Car"/>
    <w:basedOn w:val="Fuentedeprrafopredeter"/>
    <w:link w:val="Ttulo2"/>
    <w:rsid w:val="002C11A1"/>
    <w:rPr>
      <w:rFonts w:ascii="Arial" w:eastAsiaTheme="majorEastAsia" w:hAnsi="Arial" w:cstheme="majorBidi"/>
      <w:b/>
      <w:sz w:val="24"/>
      <w:szCs w:val="26"/>
    </w:rPr>
  </w:style>
  <w:style w:type="character" w:customStyle="1" w:styleId="Ttulo3Car">
    <w:name w:val="Título 3 Car"/>
    <w:basedOn w:val="Fuentedeprrafopredeter"/>
    <w:link w:val="Ttulo3"/>
    <w:rsid w:val="00F14FF7"/>
    <w:rPr>
      <w:rFonts w:asciiTheme="majorHAnsi" w:eastAsiaTheme="majorEastAsia" w:hAnsiTheme="majorHAnsi" w:cstheme="majorBidi"/>
      <w:color w:val="5F552F" w:themeColor="accent1" w:themeShade="7F"/>
      <w:sz w:val="24"/>
      <w:szCs w:val="24"/>
    </w:rPr>
  </w:style>
  <w:style w:type="character" w:customStyle="1" w:styleId="Ttulo4Car">
    <w:name w:val="Título 4 Car"/>
    <w:basedOn w:val="Fuentedeprrafopredeter"/>
    <w:link w:val="Ttulo4"/>
    <w:rsid w:val="006E072E"/>
    <w:rPr>
      <w:rFonts w:ascii="Arial" w:eastAsia="Times New Roman" w:hAnsi="Arial" w:cs="Times New Roman"/>
      <w:i/>
      <w:sz w:val="24"/>
      <w:szCs w:val="24"/>
      <w:lang w:val="es-ES" w:eastAsia="es-ES"/>
    </w:rPr>
  </w:style>
  <w:style w:type="character" w:customStyle="1" w:styleId="Ttulo5Car">
    <w:name w:val="Título 5 Car"/>
    <w:basedOn w:val="Fuentedeprrafopredeter"/>
    <w:link w:val="Ttulo5"/>
    <w:rsid w:val="006E072E"/>
    <w:rPr>
      <w:rFonts w:ascii="Arial" w:eastAsia="Times New Roman" w:hAnsi="Arial" w:cs="Times New Roman"/>
      <w:i/>
      <w:sz w:val="24"/>
      <w:szCs w:val="20"/>
      <w:lang w:val="es-ES" w:eastAsia="es-ES"/>
    </w:rPr>
  </w:style>
  <w:style w:type="character" w:customStyle="1" w:styleId="Ttulo6Car">
    <w:name w:val="Título 6 Car"/>
    <w:basedOn w:val="Fuentedeprrafopredeter"/>
    <w:link w:val="Ttulo6"/>
    <w:rsid w:val="006E072E"/>
    <w:rPr>
      <w:rFonts w:ascii="Arial" w:eastAsia="Times New Roman" w:hAnsi="Arial" w:cs="Times New Roman"/>
      <w:b/>
      <w:color w:val="000080"/>
      <w:sz w:val="24"/>
      <w:szCs w:val="24"/>
      <w:u w:val="single"/>
      <w:lang w:val="es-ES" w:eastAsia="es-ES"/>
    </w:rPr>
  </w:style>
  <w:style w:type="character" w:customStyle="1" w:styleId="Ttulo7Car">
    <w:name w:val="Título 7 Car"/>
    <w:basedOn w:val="Fuentedeprrafopredeter"/>
    <w:link w:val="Ttulo7"/>
    <w:rsid w:val="006E072E"/>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6E072E"/>
    <w:rPr>
      <w:rFonts w:ascii="Arial" w:eastAsia="Times New Roman" w:hAnsi="Arial" w:cs="Times New Roman"/>
      <w:b/>
      <w:szCs w:val="24"/>
      <w:lang w:val="es-ES" w:eastAsia="es-ES"/>
    </w:rPr>
  </w:style>
  <w:style w:type="character" w:customStyle="1" w:styleId="Ttulo9Car">
    <w:name w:val="Título 9 Car"/>
    <w:basedOn w:val="Fuentedeprrafopredeter"/>
    <w:link w:val="Ttulo9"/>
    <w:rsid w:val="006E072E"/>
    <w:rPr>
      <w:rFonts w:ascii="Arial" w:eastAsia="Times New Roman" w:hAnsi="Arial" w:cs="Arial"/>
      <w:lang w:val="es-ES" w:eastAsia="es-ES"/>
    </w:rPr>
  </w:style>
  <w:style w:type="paragraph" w:styleId="Encabezado">
    <w:name w:val="header"/>
    <w:basedOn w:val="Normal"/>
    <w:link w:val="EncabezadoCar"/>
    <w:uiPriority w:val="99"/>
    <w:unhideWhenUsed/>
    <w:qFormat/>
    <w:rsid w:val="00DB7283"/>
    <w:pPr>
      <w:tabs>
        <w:tab w:val="center" w:pos="4419"/>
        <w:tab w:val="right" w:pos="8838"/>
      </w:tabs>
    </w:pPr>
  </w:style>
  <w:style w:type="character" w:customStyle="1" w:styleId="EncabezadoCar">
    <w:name w:val="Encabezado Car"/>
    <w:basedOn w:val="Fuentedeprrafopredeter"/>
    <w:link w:val="Encabezado"/>
    <w:uiPriority w:val="99"/>
    <w:qFormat/>
    <w:rsid w:val="00DB7283"/>
  </w:style>
  <w:style w:type="paragraph" w:styleId="Piedepgina">
    <w:name w:val="footer"/>
    <w:basedOn w:val="Normal"/>
    <w:link w:val="PiedepginaCar"/>
    <w:uiPriority w:val="99"/>
    <w:unhideWhenUsed/>
    <w:rsid w:val="00DB7283"/>
    <w:pPr>
      <w:tabs>
        <w:tab w:val="center" w:pos="4419"/>
        <w:tab w:val="right" w:pos="8838"/>
      </w:tabs>
    </w:pPr>
  </w:style>
  <w:style w:type="character" w:customStyle="1" w:styleId="PiedepginaCar">
    <w:name w:val="Pie de página Car"/>
    <w:basedOn w:val="Fuentedeprrafopredeter"/>
    <w:link w:val="Piedepgina"/>
    <w:uiPriority w:val="99"/>
    <w:rsid w:val="00DB7283"/>
  </w:style>
  <w:style w:type="character" w:styleId="Nmerodepgina">
    <w:name w:val="page number"/>
    <w:basedOn w:val="Fuentedeprrafopredeter"/>
    <w:rsid w:val="005C384A"/>
  </w:style>
  <w:style w:type="paragraph" w:styleId="Prrafodelista">
    <w:name w:val="List Paragraph"/>
    <w:basedOn w:val="Normal"/>
    <w:uiPriority w:val="34"/>
    <w:qFormat/>
    <w:rsid w:val="0075780B"/>
    <w:pPr>
      <w:tabs>
        <w:tab w:val="num" w:pos="360"/>
      </w:tabs>
      <w:ind w:left="708" w:hanging="360"/>
      <w:jc w:val="both"/>
    </w:pPr>
    <w:rPr>
      <w:rFonts w:ascii="Century Gothic" w:eastAsia="Times New Roman" w:hAnsi="Century Gothic" w:cs="Arial"/>
      <w:lang w:eastAsia="es-MX"/>
    </w:rPr>
  </w:style>
  <w:style w:type="paragraph" w:styleId="NormalWeb">
    <w:name w:val="Normal (Web)"/>
    <w:basedOn w:val="Normal"/>
    <w:uiPriority w:val="99"/>
    <w:rsid w:val="0075780B"/>
    <w:pPr>
      <w:spacing w:before="100" w:after="100"/>
    </w:pPr>
    <w:rPr>
      <w:rFonts w:ascii="Times New Roman" w:eastAsia="Times New Roman" w:hAnsi="Times New Roman" w:cs="Times New Roman"/>
      <w:sz w:val="24"/>
      <w:szCs w:val="20"/>
      <w:lang w:val="es-ES" w:eastAsia="es-ES"/>
    </w:rPr>
  </w:style>
  <w:style w:type="paragraph" w:styleId="Textoindependiente2">
    <w:name w:val="Body Text 2"/>
    <w:aliases w:val="Texto independiente 2 Car Car"/>
    <w:basedOn w:val="Normal"/>
    <w:link w:val="Textoindependiente2Car"/>
    <w:rsid w:val="00A65C38"/>
    <w:rPr>
      <w:rFonts w:ascii="Times New Roman" w:eastAsia="Times New Roman" w:hAnsi="Times New Roman" w:cs="Times New Roman"/>
      <w:b/>
      <w:bCs/>
      <w:sz w:val="28"/>
      <w:szCs w:val="24"/>
      <w:lang w:eastAsia="es-ES"/>
    </w:rPr>
  </w:style>
  <w:style w:type="character" w:customStyle="1" w:styleId="Textoindependiente2Car">
    <w:name w:val="Texto independiente 2 Car"/>
    <w:aliases w:val="Texto independiente 2 Car Car Car"/>
    <w:basedOn w:val="Fuentedeprrafopredeter"/>
    <w:link w:val="Textoindependiente2"/>
    <w:rsid w:val="00A65C38"/>
    <w:rPr>
      <w:rFonts w:ascii="Times New Roman" w:eastAsia="Times New Roman" w:hAnsi="Times New Roman" w:cs="Times New Roman"/>
      <w:b/>
      <w:bCs/>
      <w:sz w:val="28"/>
      <w:szCs w:val="24"/>
      <w:lang w:eastAsia="es-ES"/>
    </w:rPr>
  </w:style>
  <w:style w:type="paragraph" w:styleId="Textoindependiente">
    <w:name w:val="Body Text"/>
    <w:basedOn w:val="Normal"/>
    <w:link w:val="TextoindependienteCar"/>
    <w:unhideWhenUsed/>
    <w:rsid w:val="00A65C38"/>
    <w:pPr>
      <w:spacing w:after="120"/>
    </w:pPr>
  </w:style>
  <w:style w:type="character" w:customStyle="1" w:styleId="TextoindependienteCar">
    <w:name w:val="Texto independiente Car"/>
    <w:basedOn w:val="Fuentedeprrafopredeter"/>
    <w:link w:val="Textoindependiente"/>
    <w:rsid w:val="00A65C38"/>
  </w:style>
  <w:style w:type="paragraph" w:styleId="Textoindependiente3">
    <w:name w:val="Body Text 3"/>
    <w:basedOn w:val="Normal"/>
    <w:link w:val="Textoindependiente3Car"/>
    <w:rsid w:val="00A65C38"/>
    <w:pPr>
      <w:jc w:val="both"/>
    </w:pPr>
    <w:rPr>
      <w:rFonts w:ascii="Times New Roman" w:eastAsia="Times New Roman" w:hAnsi="Times New Roman" w:cs="Times New Roman"/>
      <w:sz w:val="28"/>
      <w:szCs w:val="24"/>
      <w:lang w:eastAsia="es-ES"/>
    </w:rPr>
  </w:style>
  <w:style w:type="character" w:customStyle="1" w:styleId="Textoindependiente3Car">
    <w:name w:val="Texto independiente 3 Car"/>
    <w:basedOn w:val="Fuentedeprrafopredeter"/>
    <w:link w:val="Textoindependiente3"/>
    <w:rsid w:val="00A65C38"/>
    <w:rPr>
      <w:rFonts w:ascii="Times New Roman" w:eastAsia="Times New Roman" w:hAnsi="Times New Roman" w:cs="Times New Roman"/>
      <w:sz w:val="28"/>
      <w:szCs w:val="24"/>
      <w:lang w:eastAsia="es-ES"/>
    </w:rPr>
  </w:style>
  <w:style w:type="paragraph" w:styleId="Textonotapie">
    <w:name w:val="footnote text"/>
    <w:basedOn w:val="Normal"/>
    <w:link w:val="TextonotapieCar"/>
    <w:rsid w:val="00A65C38"/>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A65C38"/>
    <w:rPr>
      <w:rFonts w:ascii="Times New Roman" w:eastAsia="Times New Roman" w:hAnsi="Times New Roman" w:cs="Times New Roman"/>
      <w:sz w:val="20"/>
      <w:szCs w:val="20"/>
      <w:lang w:val="es-ES" w:eastAsia="es-ES"/>
    </w:rPr>
  </w:style>
  <w:style w:type="character" w:styleId="Refdenotaalpie">
    <w:name w:val="footnote reference"/>
    <w:rsid w:val="00A65C38"/>
    <w:rPr>
      <w:vertAlign w:val="superscript"/>
    </w:rPr>
  </w:style>
  <w:style w:type="paragraph" w:customStyle="1" w:styleId="Default">
    <w:name w:val="Default"/>
    <w:rsid w:val="00A65C38"/>
    <w:pPr>
      <w:autoSpaceDE w:val="0"/>
      <w:autoSpaceDN w:val="0"/>
      <w:adjustRightInd w:val="0"/>
      <w:spacing w:after="0" w:line="240" w:lineRule="auto"/>
    </w:pPr>
    <w:rPr>
      <w:rFonts w:ascii="Arial" w:eastAsia="Times New Roman" w:hAnsi="Arial" w:cs="Arial"/>
      <w:color w:val="000000"/>
      <w:sz w:val="24"/>
      <w:szCs w:val="24"/>
      <w:lang w:eastAsia="es-MX"/>
    </w:rPr>
  </w:style>
  <w:style w:type="table" w:styleId="Tablaconcuadrcula">
    <w:name w:val="Table Grid"/>
    <w:basedOn w:val="Tablanormal"/>
    <w:rsid w:val="00885B5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rsid w:val="00885B5B"/>
    <w:pPr>
      <w:suppressAutoHyphens/>
      <w:spacing w:after="0" w:line="100" w:lineRule="atLeast"/>
    </w:pPr>
    <w:rPr>
      <w:rFonts w:ascii="Calibri" w:eastAsia="Arial Unicode MS" w:hAnsi="Calibri" w:cs="Tahoma"/>
      <w:lang w:eastAsia="ar-SA"/>
    </w:rPr>
  </w:style>
  <w:style w:type="paragraph" w:styleId="Sangradetextonormal">
    <w:name w:val="Body Text Indent"/>
    <w:aliases w:val="Sangría de t. independiente"/>
    <w:basedOn w:val="Normal"/>
    <w:link w:val="SangradetextonormalCar"/>
    <w:unhideWhenUsed/>
    <w:rsid w:val="000116EA"/>
    <w:pPr>
      <w:spacing w:after="120"/>
      <w:ind w:left="283"/>
    </w:pPr>
  </w:style>
  <w:style w:type="character" w:customStyle="1" w:styleId="SangradetextonormalCar">
    <w:name w:val="Sangría de texto normal Car"/>
    <w:aliases w:val="Sangría de t. independiente Car"/>
    <w:basedOn w:val="Fuentedeprrafopredeter"/>
    <w:link w:val="Sangradetextonormal"/>
    <w:rsid w:val="000116EA"/>
  </w:style>
  <w:style w:type="table" w:styleId="Sombreadoclaro-nfasis6">
    <w:name w:val="Light Shading Accent 6"/>
    <w:basedOn w:val="Tablanormal"/>
    <w:uiPriority w:val="60"/>
    <w:rsid w:val="000116EA"/>
    <w:pPr>
      <w:spacing w:after="0" w:line="240" w:lineRule="auto"/>
    </w:pPr>
    <w:rPr>
      <w:color w:val="C5B070" w:themeColor="accent6" w:themeShade="BF"/>
    </w:rPr>
    <w:tblPr>
      <w:tblStyleRowBandSize w:val="1"/>
      <w:tblStyleColBandSize w:val="1"/>
      <w:tblBorders>
        <w:top w:val="single" w:sz="8" w:space="0" w:color="E3D9BA" w:themeColor="accent6"/>
        <w:bottom w:val="single" w:sz="8" w:space="0" w:color="E3D9BA" w:themeColor="accent6"/>
      </w:tblBorders>
    </w:tblPr>
    <w:tblStylePr w:type="firstRow">
      <w:pPr>
        <w:spacing w:before="0" w:after="0" w:line="240" w:lineRule="auto"/>
      </w:pPr>
      <w:rPr>
        <w:b/>
        <w:bCs/>
      </w:rPr>
      <w:tblPr/>
      <w:tcPr>
        <w:tcBorders>
          <w:top w:val="single" w:sz="8" w:space="0" w:color="E3D9BA" w:themeColor="accent6"/>
          <w:left w:val="nil"/>
          <w:bottom w:val="single" w:sz="8" w:space="0" w:color="E3D9BA" w:themeColor="accent6"/>
          <w:right w:val="nil"/>
          <w:insideH w:val="nil"/>
          <w:insideV w:val="nil"/>
        </w:tcBorders>
      </w:tcPr>
    </w:tblStylePr>
    <w:tblStylePr w:type="lastRow">
      <w:pPr>
        <w:spacing w:before="0" w:after="0" w:line="240" w:lineRule="auto"/>
      </w:pPr>
      <w:rPr>
        <w:b/>
        <w:bCs/>
      </w:rPr>
      <w:tblPr/>
      <w:tcPr>
        <w:tcBorders>
          <w:top w:val="single" w:sz="8" w:space="0" w:color="E3D9BA" w:themeColor="accent6"/>
          <w:left w:val="nil"/>
          <w:bottom w:val="single" w:sz="8" w:space="0" w:color="E3D9B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5ED" w:themeFill="accent6" w:themeFillTint="3F"/>
      </w:tcPr>
    </w:tblStylePr>
    <w:tblStylePr w:type="band1Horz">
      <w:tblPr/>
      <w:tcPr>
        <w:tcBorders>
          <w:left w:val="nil"/>
          <w:right w:val="nil"/>
          <w:insideH w:val="nil"/>
          <w:insideV w:val="nil"/>
        </w:tcBorders>
        <w:shd w:val="clear" w:color="auto" w:fill="F8F5ED" w:themeFill="accent6" w:themeFillTint="3F"/>
      </w:tcPr>
    </w:tblStylePr>
  </w:style>
  <w:style w:type="table" w:customStyle="1" w:styleId="Tablanormal21">
    <w:name w:val="Tabla normal 21"/>
    <w:basedOn w:val="Tablanormal"/>
    <w:uiPriority w:val="42"/>
    <w:rsid w:val="00EE1A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deglobo">
    <w:name w:val="Balloon Text"/>
    <w:basedOn w:val="Normal"/>
    <w:link w:val="TextodegloboCar"/>
    <w:unhideWhenUsed/>
    <w:rsid w:val="006540EF"/>
    <w:rPr>
      <w:rFonts w:ascii="Segoe UI" w:hAnsi="Segoe UI" w:cs="Segoe UI"/>
      <w:sz w:val="18"/>
      <w:szCs w:val="18"/>
    </w:rPr>
  </w:style>
  <w:style w:type="character" w:customStyle="1" w:styleId="TextodegloboCar">
    <w:name w:val="Texto de globo Car"/>
    <w:basedOn w:val="Fuentedeprrafopredeter"/>
    <w:link w:val="Textodeglobo"/>
    <w:rsid w:val="006540EF"/>
    <w:rPr>
      <w:rFonts w:ascii="Segoe UI" w:hAnsi="Segoe UI" w:cs="Segoe UI"/>
      <w:sz w:val="18"/>
      <w:szCs w:val="18"/>
    </w:rPr>
  </w:style>
  <w:style w:type="paragraph" w:customStyle="1" w:styleId="ROMANOS">
    <w:name w:val="ROMANOS"/>
    <w:basedOn w:val="Normal"/>
    <w:link w:val="ROMANOSCar"/>
    <w:rsid w:val="006E072E"/>
    <w:pPr>
      <w:tabs>
        <w:tab w:val="left" w:pos="720"/>
      </w:tabs>
      <w:spacing w:after="101" w:line="216" w:lineRule="exact"/>
      <w:ind w:left="720" w:hanging="432"/>
      <w:jc w:val="both"/>
    </w:pPr>
    <w:rPr>
      <w:rFonts w:ascii="Arial" w:eastAsia="Calibri" w:hAnsi="Arial" w:cs="Arial"/>
      <w:sz w:val="18"/>
      <w:szCs w:val="18"/>
    </w:rPr>
  </w:style>
  <w:style w:type="character" w:customStyle="1" w:styleId="ROMANOSCar">
    <w:name w:val="ROMANOS Car"/>
    <w:link w:val="ROMANOS"/>
    <w:locked/>
    <w:rsid w:val="006E072E"/>
    <w:rPr>
      <w:rFonts w:ascii="Arial" w:eastAsia="Calibri" w:hAnsi="Arial" w:cs="Arial"/>
      <w:sz w:val="18"/>
      <w:szCs w:val="18"/>
    </w:rPr>
  </w:style>
  <w:style w:type="paragraph" w:styleId="Sinespaciado">
    <w:name w:val="No Spacing"/>
    <w:link w:val="SinespaciadoCar"/>
    <w:uiPriority w:val="1"/>
    <w:qFormat/>
    <w:rsid w:val="006E072E"/>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6E072E"/>
    <w:rPr>
      <w:rFonts w:ascii="Calibri" w:eastAsia="Calibri" w:hAnsi="Calibri" w:cs="Times New Roman"/>
    </w:rPr>
  </w:style>
  <w:style w:type="character" w:customStyle="1" w:styleId="fontstyle01">
    <w:name w:val="fontstyle01"/>
    <w:basedOn w:val="Fuentedeprrafopredeter"/>
    <w:rsid w:val="006E072E"/>
    <w:rPr>
      <w:rFonts w:ascii="Arial" w:hAnsi="Arial" w:cs="Arial" w:hint="default"/>
      <w:b w:val="0"/>
      <w:bCs w:val="0"/>
      <w:i w:val="0"/>
      <w:iCs w:val="0"/>
      <w:color w:val="000000"/>
      <w:sz w:val="20"/>
      <w:szCs w:val="20"/>
    </w:rPr>
  </w:style>
  <w:style w:type="paragraph" w:customStyle="1" w:styleId="bullet">
    <w:name w:val="bullet"/>
    <w:basedOn w:val="Normal"/>
    <w:uiPriority w:val="99"/>
    <w:rsid w:val="006E072E"/>
    <w:pPr>
      <w:widowControl w:val="0"/>
      <w:spacing w:before="240"/>
      <w:ind w:left="1276" w:right="1185" w:hanging="273"/>
      <w:jc w:val="both"/>
    </w:pPr>
    <w:rPr>
      <w:rFonts w:ascii="Arial" w:eastAsia="Times New Roman" w:hAnsi="Arial" w:cs="Arial"/>
      <w:b/>
      <w:bCs/>
      <w:color w:val="000080"/>
      <w:lang w:val="es-ES_tradnl" w:eastAsia="es-ES"/>
    </w:rPr>
  </w:style>
  <w:style w:type="character" w:customStyle="1" w:styleId="A1">
    <w:name w:val="A1"/>
    <w:uiPriority w:val="99"/>
    <w:rsid w:val="006E072E"/>
    <w:rPr>
      <w:rFonts w:cs="Gotham"/>
      <w:color w:val="000000"/>
      <w:sz w:val="20"/>
      <w:szCs w:val="20"/>
    </w:rPr>
  </w:style>
  <w:style w:type="paragraph" w:customStyle="1" w:styleId="verdedos">
    <w:name w:val="verdedos"/>
    <w:basedOn w:val="Normal"/>
    <w:rsid w:val="006E072E"/>
    <w:pPr>
      <w:spacing w:before="100" w:beforeAutospacing="1" w:after="100" w:afterAutospacing="1"/>
      <w:jc w:val="both"/>
    </w:pPr>
    <w:rPr>
      <w:rFonts w:ascii="Times New Roman" w:eastAsia="Times New Roman" w:hAnsi="Times New Roman" w:cs="Times New Roman"/>
      <w:color w:val="006666"/>
      <w:sz w:val="23"/>
      <w:szCs w:val="23"/>
      <w:lang w:eastAsia="es-MX"/>
    </w:rPr>
  </w:style>
  <w:style w:type="paragraph" w:customStyle="1" w:styleId="CharCharCarCarCharChar">
    <w:name w:val="Char Char Car Car Char Char"/>
    <w:basedOn w:val="Normal"/>
    <w:rsid w:val="006E072E"/>
    <w:pPr>
      <w:spacing w:line="240" w:lineRule="exact"/>
      <w:jc w:val="right"/>
    </w:pPr>
    <w:rPr>
      <w:rFonts w:ascii="Verdana" w:eastAsia="Times New Roman" w:hAnsi="Verdana" w:cs="Arial"/>
      <w:sz w:val="20"/>
      <w:szCs w:val="21"/>
    </w:rPr>
  </w:style>
  <w:style w:type="paragraph" w:customStyle="1" w:styleId="CarCarCarCarCarCarCarCarCarCar">
    <w:name w:val="Car Car Car Car Car Car Car Car Car Car"/>
    <w:basedOn w:val="Normal"/>
    <w:next w:val="Normal"/>
    <w:rsid w:val="006E072E"/>
    <w:pPr>
      <w:widowControl w:val="0"/>
      <w:tabs>
        <w:tab w:val="num" w:pos="1440"/>
      </w:tabs>
      <w:adjustRightInd w:val="0"/>
      <w:spacing w:before="80" w:after="80"/>
      <w:jc w:val="both"/>
      <w:textAlignment w:val="baseline"/>
    </w:pPr>
    <w:rPr>
      <w:rFonts w:ascii="Arial" w:eastAsia="Times New Roman" w:hAnsi="Arial" w:cs="Arial"/>
      <w:sz w:val="28"/>
      <w:szCs w:val="28"/>
      <w:lang w:val="es-ES_tradnl" w:eastAsia="es-ES"/>
    </w:rPr>
  </w:style>
  <w:style w:type="paragraph" w:styleId="Descripcin">
    <w:name w:val="caption"/>
    <w:basedOn w:val="Normal"/>
    <w:next w:val="Normal"/>
    <w:autoRedefine/>
    <w:qFormat/>
    <w:rsid w:val="00AA77B2"/>
    <w:pPr>
      <w:jc w:val="both"/>
    </w:pPr>
    <w:rPr>
      <w:rFonts w:ascii="Arial" w:eastAsia="Times New Roman" w:hAnsi="Arial" w:cs="Times New Roman"/>
      <w:b/>
      <w:sz w:val="24"/>
      <w:szCs w:val="24"/>
      <w:lang w:val="es-ES" w:eastAsia="es-ES"/>
    </w:rPr>
  </w:style>
  <w:style w:type="paragraph" w:customStyle="1" w:styleId="Prrafodelista1">
    <w:name w:val="Párrafo de lista1"/>
    <w:basedOn w:val="Normal"/>
    <w:rsid w:val="006E072E"/>
    <w:pPr>
      <w:ind w:left="720" w:hanging="360"/>
      <w:jc w:val="both"/>
    </w:pPr>
    <w:rPr>
      <w:rFonts w:ascii="Century Gothic" w:eastAsia="Calibri" w:hAnsi="Century Gothic" w:cs="Arial"/>
      <w:lang w:val="es-ES" w:eastAsia="es-ES"/>
    </w:rPr>
  </w:style>
  <w:style w:type="paragraph" w:customStyle="1" w:styleId="Pa6">
    <w:name w:val="Pa6"/>
    <w:basedOn w:val="Normal"/>
    <w:next w:val="Normal"/>
    <w:uiPriority w:val="99"/>
    <w:rsid w:val="006E072E"/>
    <w:pPr>
      <w:autoSpaceDE w:val="0"/>
      <w:autoSpaceDN w:val="0"/>
      <w:adjustRightInd w:val="0"/>
      <w:spacing w:line="221" w:lineRule="atLeast"/>
    </w:pPr>
    <w:rPr>
      <w:rFonts w:ascii="Calibri" w:eastAsia="Times New Roman" w:hAnsi="Calibri" w:cs="Times New Roman"/>
      <w:sz w:val="24"/>
      <w:szCs w:val="24"/>
      <w:lang w:eastAsia="es-MX"/>
    </w:rPr>
  </w:style>
  <w:style w:type="paragraph" w:styleId="Subttulo">
    <w:name w:val="Subtitle"/>
    <w:basedOn w:val="Normal"/>
    <w:link w:val="SubttuloCar"/>
    <w:autoRedefine/>
    <w:qFormat/>
    <w:rsid w:val="00AA77B2"/>
    <w:pPr>
      <w:jc w:val="both"/>
    </w:pPr>
    <w:rPr>
      <w:rFonts w:ascii="Arial" w:eastAsia="Calibri" w:hAnsi="Arial" w:cs="Arial"/>
      <w:b/>
      <w:bCs/>
      <w:sz w:val="20"/>
      <w:szCs w:val="20"/>
      <w:lang w:val="es-ES" w:eastAsia="es-ES"/>
    </w:rPr>
  </w:style>
  <w:style w:type="character" w:customStyle="1" w:styleId="SubttuloCar">
    <w:name w:val="Subtítulo Car"/>
    <w:basedOn w:val="Fuentedeprrafopredeter"/>
    <w:link w:val="Subttulo"/>
    <w:rsid w:val="00AA77B2"/>
    <w:rPr>
      <w:rFonts w:ascii="Arial" w:eastAsia="Calibri" w:hAnsi="Arial" w:cs="Arial"/>
      <w:b/>
      <w:bCs/>
      <w:sz w:val="20"/>
      <w:szCs w:val="20"/>
      <w:lang w:val="es-ES" w:eastAsia="es-ES"/>
    </w:rPr>
  </w:style>
  <w:style w:type="paragraph" w:styleId="Textocomentario">
    <w:name w:val="annotation text"/>
    <w:basedOn w:val="Normal"/>
    <w:link w:val="TextocomentarioCar"/>
    <w:uiPriority w:val="99"/>
    <w:rsid w:val="006E072E"/>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6E072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6E072E"/>
    <w:rPr>
      <w:b/>
      <w:bCs/>
    </w:rPr>
  </w:style>
  <w:style w:type="character" w:customStyle="1" w:styleId="AsuntodelcomentarioCar">
    <w:name w:val="Asunto del comentario Car"/>
    <w:basedOn w:val="TextocomentarioCar"/>
    <w:link w:val="Asuntodelcomentario"/>
    <w:uiPriority w:val="99"/>
    <w:rsid w:val="006E072E"/>
    <w:rPr>
      <w:rFonts w:ascii="Times New Roman" w:eastAsia="Times New Roman" w:hAnsi="Times New Roman" w:cs="Times New Roman"/>
      <w:b/>
      <w:bCs/>
      <w:sz w:val="20"/>
      <w:szCs w:val="20"/>
      <w:lang w:val="es-ES" w:eastAsia="es-ES"/>
    </w:rPr>
  </w:style>
  <w:style w:type="paragraph" w:customStyle="1" w:styleId="Contenidodelmarco">
    <w:name w:val="Contenido del marco"/>
    <w:basedOn w:val="Textoindependiente"/>
    <w:rsid w:val="006E072E"/>
    <w:pPr>
      <w:suppressAutoHyphens/>
      <w:spacing w:after="0"/>
      <w:jc w:val="both"/>
    </w:pPr>
    <w:rPr>
      <w:rFonts w:ascii="Arial" w:eastAsia="Times New Roman" w:hAnsi="Arial" w:cs="Times New Roman"/>
      <w:sz w:val="24"/>
      <w:szCs w:val="20"/>
      <w:lang w:val="es-ES" w:eastAsia="es-ES"/>
    </w:rPr>
  </w:style>
  <w:style w:type="paragraph" w:customStyle="1" w:styleId="4">
    <w:name w:val="4"/>
    <w:basedOn w:val="Normal"/>
    <w:next w:val="Sangradetextonormal"/>
    <w:rsid w:val="006E072E"/>
    <w:pPr>
      <w:ind w:left="1410" w:hanging="1410"/>
      <w:jc w:val="both"/>
    </w:pPr>
    <w:rPr>
      <w:rFonts w:ascii="Times New Roman" w:eastAsia="Times New Roman" w:hAnsi="Times New Roman" w:cs="Times New Roman"/>
      <w:sz w:val="20"/>
      <w:szCs w:val="20"/>
      <w:lang w:val="es-ES" w:eastAsia="es-ES"/>
    </w:rPr>
  </w:style>
  <w:style w:type="paragraph" w:customStyle="1" w:styleId="3">
    <w:name w:val="3"/>
    <w:basedOn w:val="Normal"/>
    <w:next w:val="Sangradetextonormal"/>
    <w:rsid w:val="006E072E"/>
    <w:pPr>
      <w:ind w:left="1410" w:hanging="1410"/>
      <w:jc w:val="both"/>
    </w:pPr>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6E072E"/>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6E072E"/>
    <w:rPr>
      <w:rFonts w:ascii="Courier New" w:eastAsia="Times New Roman" w:hAnsi="Courier New" w:cs="Times New Roman"/>
      <w:sz w:val="20"/>
      <w:szCs w:val="20"/>
      <w:lang w:val="es-ES" w:eastAsia="es-ES"/>
    </w:rPr>
  </w:style>
  <w:style w:type="paragraph" w:styleId="Sangra2detindependiente">
    <w:name w:val="Body Text Indent 2"/>
    <w:basedOn w:val="Normal"/>
    <w:link w:val="Sangra2detindependienteCar"/>
    <w:rsid w:val="006E072E"/>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6E072E"/>
    <w:rPr>
      <w:rFonts w:ascii="Times New Roman" w:eastAsia="Times New Roman" w:hAnsi="Times New Roman" w:cs="Times New Roman"/>
      <w:sz w:val="24"/>
      <w:szCs w:val="24"/>
      <w:lang w:val="es-ES" w:eastAsia="es-ES"/>
    </w:rPr>
  </w:style>
  <w:style w:type="paragraph" w:customStyle="1" w:styleId="Subt1">
    <w:name w:val="Subt1"/>
    <w:basedOn w:val="Normal"/>
    <w:uiPriority w:val="99"/>
    <w:rsid w:val="006E072E"/>
    <w:pPr>
      <w:widowControl w:val="0"/>
      <w:tabs>
        <w:tab w:val="left" w:pos="426"/>
      </w:tabs>
      <w:jc w:val="both"/>
    </w:pPr>
    <w:rPr>
      <w:rFonts w:ascii="Arial" w:eastAsia="Times New Roman" w:hAnsi="Arial" w:cs="Times New Roman"/>
      <w:b/>
      <w:snapToGrid w:val="0"/>
      <w:sz w:val="24"/>
      <w:szCs w:val="20"/>
      <w:lang w:val="es-ES_tradnl" w:eastAsia="es-ES"/>
    </w:rPr>
  </w:style>
  <w:style w:type="paragraph" w:customStyle="1" w:styleId="xl22">
    <w:name w:val="xl22"/>
    <w:basedOn w:val="Normal"/>
    <w:rsid w:val="006E072E"/>
    <w:pPr>
      <w:spacing w:before="100" w:beforeAutospacing="1" w:after="100" w:afterAutospacing="1"/>
      <w:jc w:val="both"/>
      <w:textAlignment w:val="top"/>
    </w:pPr>
    <w:rPr>
      <w:rFonts w:ascii="Arial Unicode MS" w:eastAsia="Arial Unicode MS" w:hAnsi="Arial Unicode MS" w:cs="Arial Unicode MS"/>
      <w:sz w:val="24"/>
      <w:szCs w:val="24"/>
      <w:lang w:val="es-ES" w:eastAsia="es-ES"/>
    </w:rPr>
  </w:style>
  <w:style w:type="paragraph" w:styleId="Sangra3detindependiente">
    <w:name w:val="Body Text Indent 3"/>
    <w:basedOn w:val="Normal"/>
    <w:link w:val="Sangra3detindependienteCar"/>
    <w:rsid w:val="006E072E"/>
    <w:pPr>
      <w:ind w:left="3240" w:hanging="3240"/>
    </w:pPr>
    <w:rPr>
      <w:rFonts w:ascii="Arial" w:eastAsia="Times New Roman" w:hAnsi="Arial" w:cs="Times New Roman"/>
      <w:b/>
      <w:sz w:val="20"/>
      <w:szCs w:val="24"/>
      <w:lang w:val="es-ES" w:eastAsia="es-ES"/>
    </w:rPr>
  </w:style>
  <w:style w:type="character" w:customStyle="1" w:styleId="Sangra3detindependienteCar">
    <w:name w:val="Sangría 3 de t. independiente Car"/>
    <w:basedOn w:val="Fuentedeprrafopredeter"/>
    <w:link w:val="Sangra3detindependiente"/>
    <w:rsid w:val="006E072E"/>
    <w:rPr>
      <w:rFonts w:ascii="Arial" w:eastAsia="Times New Roman" w:hAnsi="Arial" w:cs="Times New Roman"/>
      <w:b/>
      <w:sz w:val="20"/>
      <w:szCs w:val="24"/>
      <w:lang w:val="es-ES" w:eastAsia="es-ES"/>
    </w:rPr>
  </w:style>
  <w:style w:type="character" w:customStyle="1" w:styleId="FooterChar">
    <w:name w:val="Footer Char"/>
    <w:locked/>
    <w:rsid w:val="006E072E"/>
    <w:rPr>
      <w:rFonts w:ascii="Times New Roman" w:hAnsi="Times New Roman" w:cs="Times New Roman"/>
      <w:sz w:val="24"/>
      <w:szCs w:val="24"/>
      <w:lang w:val="x-none" w:eastAsia="es-ES"/>
    </w:rPr>
  </w:style>
  <w:style w:type="character" w:customStyle="1" w:styleId="Heading2Char">
    <w:name w:val="Heading 2 Char"/>
    <w:locked/>
    <w:rsid w:val="006E072E"/>
    <w:rPr>
      <w:rFonts w:ascii="Arial" w:hAnsi="Arial" w:cs="Arial"/>
      <w:b/>
      <w:bCs/>
      <w:i/>
      <w:iCs/>
      <w:sz w:val="28"/>
      <w:szCs w:val="28"/>
      <w:lang w:val="x-none" w:eastAsia="es-ES"/>
    </w:rPr>
  </w:style>
  <w:style w:type="character" w:customStyle="1" w:styleId="Heading8Char">
    <w:name w:val="Heading 8 Char"/>
    <w:locked/>
    <w:rsid w:val="006E072E"/>
    <w:rPr>
      <w:rFonts w:ascii="Times New Roman" w:hAnsi="Times New Roman" w:cs="Times New Roman"/>
      <w:i/>
      <w:iCs/>
      <w:sz w:val="24"/>
      <w:szCs w:val="24"/>
      <w:lang w:val="x-none" w:eastAsia="es-ES"/>
    </w:rPr>
  </w:style>
  <w:style w:type="character" w:customStyle="1" w:styleId="A10">
    <w:name w:val="A10"/>
    <w:rsid w:val="006E072E"/>
    <w:rPr>
      <w:rFonts w:cs="Fedra Serif A Pro Book"/>
      <w:color w:val="000000"/>
      <w:sz w:val="20"/>
      <w:szCs w:val="20"/>
    </w:rPr>
  </w:style>
  <w:style w:type="character" w:customStyle="1" w:styleId="TextonotaalfinalCar">
    <w:name w:val="Texto nota al final Car"/>
    <w:link w:val="Textonotaalfinal"/>
    <w:uiPriority w:val="99"/>
    <w:rsid w:val="006E072E"/>
    <w:rPr>
      <w:lang w:val="es-ES" w:eastAsia="es-ES"/>
    </w:rPr>
  </w:style>
  <w:style w:type="paragraph" w:styleId="Textonotaalfinal">
    <w:name w:val="endnote text"/>
    <w:basedOn w:val="Normal"/>
    <w:link w:val="TextonotaalfinalCar"/>
    <w:uiPriority w:val="99"/>
    <w:unhideWhenUsed/>
    <w:rsid w:val="006E072E"/>
    <w:rPr>
      <w:lang w:val="es-ES" w:eastAsia="es-ES"/>
    </w:rPr>
  </w:style>
  <w:style w:type="character" w:customStyle="1" w:styleId="TextonotaalfinalCar1">
    <w:name w:val="Texto nota al final Car1"/>
    <w:basedOn w:val="Fuentedeprrafopredeter"/>
    <w:rsid w:val="006E072E"/>
    <w:rPr>
      <w:sz w:val="20"/>
      <w:szCs w:val="20"/>
    </w:rPr>
  </w:style>
  <w:style w:type="paragraph" w:customStyle="1" w:styleId="ecxmsonormal">
    <w:name w:val="ecxmsonormal"/>
    <w:basedOn w:val="Normal"/>
    <w:rsid w:val="006E072E"/>
    <w:pPr>
      <w:spacing w:after="324"/>
    </w:pPr>
    <w:rPr>
      <w:rFonts w:ascii="Times New Roman" w:eastAsia="Times New Roman" w:hAnsi="Times New Roman" w:cs="Times New Roman"/>
      <w:sz w:val="24"/>
      <w:szCs w:val="24"/>
      <w:lang w:eastAsia="es-MX"/>
    </w:rPr>
  </w:style>
  <w:style w:type="paragraph" w:customStyle="1" w:styleId="xl29">
    <w:name w:val="xl29"/>
    <w:basedOn w:val="Normal"/>
    <w:rsid w:val="006E072E"/>
    <w:pPr>
      <w:spacing w:before="100" w:beforeAutospacing="1" w:after="100" w:afterAutospacing="1"/>
      <w:jc w:val="center"/>
    </w:pPr>
    <w:rPr>
      <w:rFonts w:ascii="Arial" w:eastAsia="Arial Unicode MS" w:hAnsi="Arial" w:cs="Arial"/>
      <w:b/>
      <w:bCs/>
      <w:sz w:val="24"/>
      <w:szCs w:val="24"/>
      <w:lang w:val="es-ES" w:eastAsia="es-ES"/>
    </w:rPr>
  </w:style>
  <w:style w:type="paragraph" w:styleId="Textodebloque">
    <w:name w:val="Block Text"/>
    <w:basedOn w:val="Normal"/>
    <w:rsid w:val="006E072E"/>
    <w:pPr>
      <w:ind w:left="482" w:right="1701"/>
      <w:jc w:val="both"/>
    </w:pPr>
    <w:rPr>
      <w:rFonts w:ascii="Bimini" w:eastAsia="Times New Roman" w:hAnsi="Bimini" w:cs="Arial"/>
      <w:sz w:val="32"/>
      <w:szCs w:val="32"/>
      <w:lang w:val="es-ES" w:eastAsia="es-ES"/>
    </w:rPr>
  </w:style>
  <w:style w:type="character" w:customStyle="1" w:styleId="CarCar16">
    <w:name w:val="Car Car16"/>
    <w:rsid w:val="006E072E"/>
    <w:rPr>
      <w:snapToGrid w:val="0"/>
      <w:sz w:val="24"/>
      <w:lang w:eastAsia="es-ES"/>
    </w:rPr>
  </w:style>
  <w:style w:type="character" w:customStyle="1" w:styleId="CarCar15">
    <w:name w:val="Car Car15"/>
    <w:rsid w:val="006E072E"/>
    <w:rPr>
      <w:rFonts w:ascii="Tahoma" w:hAnsi="Tahoma" w:cs="Tahoma"/>
      <w:b/>
      <w:i/>
      <w:sz w:val="22"/>
      <w:lang w:val="es-ES" w:eastAsia="es-ES"/>
    </w:rPr>
  </w:style>
  <w:style w:type="character" w:customStyle="1" w:styleId="CarCar13">
    <w:name w:val="Car Car13"/>
    <w:rsid w:val="006E072E"/>
    <w:rPr>
      <w:rFonts w:ascii="Tahoma" w:hAnsi="Tahoma" w:cs="Tahoma"/>
      <w:b/>
      <w:sz w:val="21"/>
      <w:lang w:val="es-ES" w:eastAsia="es-ES"/>
    </w:rPr>
  </w:style>
  <w:style w:type="character" w:customStyle="1" w:styleId="CarCar12">
    <w:name w:val="Car Car12"/>
    <w:rsid w:val="006E072E"/>
    <w:rPr>
      <w:b/>
      <w:bCs/>
      <w:sz w:val="22"/>
      <w:szCs w:val="22"/>
      <w:lang w:val="es-ES" w:eastAsia="es-ES"/>
    </w:rPr>
  </w:style>
  <w:style w:type="character" w:customStyle="1" w:styleId="CarCar11">
    <w:name w:val="Car Car11"/>
    <w:rsid w:val="006E072E"/>
    <w:rPr>
      <w:rFonts w:ascii="Tahoma" w:hAnsi="Tahoma" w:cs="Tahoma"/>
      <w:b/>
      <w:lang w:val="es-ES" w:eastAsia="es-ES"/>
    </w:rPr>
  </w:style>
  <w:style w:type="character" w:customStyle="1" w:styleId="CarCar10">
    <w:name w:val="Car Car10"/>
    <w:rsid w:val="006E072E"/>
    <w:rPr>
      <w:rFonts w:ascii="Tahoma" w:hAnsi="Tahoma" w:cs="Tahoma"/>
      <w:b/>
      <w:sz w:val="19"/>
      <w:lang w:val="es-ES" w:eastAsia="es-ES"/>
    </w:rPr>
  </w:style>
  <w:style w:type="character" w:customStyle="1" w:styleId="CarCar9">
    <w:name w:val="Car Car9"/>
    <w:rsid w:val="006E072E"/>
    <w:rPr>
      <w:rFonts w:ascii="Arial" w:hAnsi="Arial" w:cs="Arial"/>
      <w:sz w:val="22"/>
      <w:szCs w:val="22"/>
      <w:lang w:val="es-ES" w:eastAsia="es-ES"/>
    </w:rPr>
  </w:style>
  <w:style w:type="character" w:customStyle="1" w:styleId="CarCar8">
    <w:name w:val="Car Car8"/>
    <w:rsid w:val="006E072E"/>
    <w:rPr>
      <w:rFonts w:ascii="Tahoma" w:hAnsi="Tahoma" w:cs="Tahoma"/>
      <w:sz w:val="16"/>
      <w:szCs w:val="16"/>
      <w:lang w:val="es-ES" w:eastAsia="es-ES"/>
    </w:rPr>
  </w:style>
  <w:style w:type="character" w:customStyle="1" w:styleId="CarCar5">
    <w:name w:val="Car Car5"/>
    <w:rsid w:val="006E072E"/>
    <w:rPr>
      <w:sz w:val="16"/>
      <w:szCs w:val="16"/>
      <w:lang w:val="es-ES" w:eastAsia="es-ES"/>
    </w:rPr>
  </w:style>
  <w:style w:type="paragraph" w:customStyle="1" w:styleId="LLamadas">
    <w:name w:val="LLamadas"/>
    <w:basedOn w:val="Normal"/>
    <w:rsid w:val="006E072E"/>
    <w:pPr>
      <w:spacing w:before="120"/>
      <w:jc w:val="both"/>
    </w:pPr>
    <w:rPr>
      <w:rFonts w:ascii="Arial" w:eastAsia="Times New Roman" w:hAnsi="Arial" w:cs="Times New Roman"/>
      <w:sz w:val="16"/>
      <w:szCs w:val="20"/>
      <w:lang w:val="es-ES_tradnl" w:eastAsia="es-ES"/>
    </w:rPr>
  </w:style>
  <w:style w:type="paragraph" w:styleId="Ttulo">
    <w:name w:val="Title"/>
    <w:basedOn w:val="Normal"/>
    <w:link w:val="TtuloCar"/>
    <w:autoRedefine/>
    <w:qFormat/>
    <w:rsid w:val="005A02CC"/>
    <w:pPr>
      <w:widowControl w:val="0"/>
      <w:jc w:val="both"/>
    </w:pPr>
    <w:rPr>
      <w:rFonts w:ascii="Arial" w:eastAsia="Times New Roman" w:hAnsi="Arial" w:cs="Times New Roman"/>
      <w:b/>
      <w:i/>
      <w:snapToGrid w:val="0"/>
      <w:sz w:val="20"/>
      <w:szCs w:val="20"/>
      <w:u w:val="single"/>
      <w:lang w:eastAsia="es-ES"/>
    </w:rPr>
  </w:style>
  <w:style w:type="character" w:customStyle="1" w:styleId="TtuloCar">
    <w:name w:val="Título Car"/>
    <w:basedOn w:val="Fuentedeprrafopredeter"/>
    <w:link w:val="Ttulo"/>
    <w:rsid w:val="005A02CC"/>
    <w:rPr>
      <w:rFonts w:ascii="Arial" w:eastAsia="Times New Roman" w:hAnsi="Arial" w:cs="Times New Roman"/>
      <w:b/>
      <w:i/>
      <w:snapToGrid w:val="0"/>
      <w:sz w:val="20"/>
      <w:szCs w:val="20"/>
      <w:u w:val="single"/>
      <w:lang w:eastAsia="es-ES"/>
    </w:rPr>
  </w:style>
  <w:style w:type="character" w:customStyle="1" w:styleId="CarCar4">
    <w:name w:val="Car Car4"/>
    <w:rsid w:val="006E072E"/>
    <w:rPr>
      <w:b/>
      <w:snapToGrid w:val="0"/>
      <w:sz w:val="24"/>
      <w:lang w:eastAsia="es-ES"/>
    </w:rPr>
  </w:style>
  <w:style w:type="character" w:customStyle="1" w:styleId="CarCar3">
    <w:name w:val="Car Car3"/>
    <w:rsid w:val="006E072E"/>
    <w:rPr>
      <w:rFonts w:ascii="Arial" w:hAnsi="Arial"/>
      <w:b/>
      <w:color w:val="000080"/>
      <w:sz w:val="22"/>
      <w:lang w:val="es-ES" w:eastAsia="es-ES"/>
    </w:rPr>
  </w:style>
  <w:style w:type="paragraph" w:customStyle="1" w:styleId="P-TEXTOS">
    <w:name w:val="P-TEXTOS"/>
    <w:rsid w:val="006E072E"/>
    <w:pPr>
      <w:tabs>
        <w:tab w:val="left" w:pos="540"/>
      </w:tabs>
      <w:autoSpaceDE w:val="0"/>
      <w:autoSpaceDN w:val="0"/>
      <w:adjustRightInd w:val="0"/>
      <w:spacing w:after="0" w:line="300" w:lineRule="atLeast"/>
      <w:ind w:left="567" w:hanging="283"/>
      <w:jc w:val="both"/>
    </w:pPr>
    <w:rPr>
      <w:rFonts w:ascii="Century Schoolbook" w:eastAsia="Times New Roman" w:hAnsi="Century Schoolbook" w:cs="Times New Roman"/>
      <w:color w:val="000000"/>
      <w:sz w:val="26"/>
      <w:szCs w:val="26"/>
      <w:lang w:val="es-ES" w:eastAsia="es-ES"/>
    </w:rPr>
  </w:style>
  <w:style w:type="paragraph" w:customStyle="1" w:styleId="1">
    <w:name w:val="1"/>
    <w:basedOn w:val="Normal"/>
    <w:next w:val="Sangradetextonormal"/>
    <w:rsid w:val="006E072E"/>
    <w:pPr>
      <w:spacing w:line="360" w:lineRule="auto"/>
      <w:ind w:firstLine="708"/>
      <w:jc w:val="both"/>
    </w:pPr>
    <w:rPr>
      <w:rFonts w:ascii="Arial" w:eastAsia="Times New Roman" w:hAnsi="Arial" w:cs="Arial"/>
      <w:sz w:val="24"/>
      <w:szCs w:val="24"/>
      <w:lang w:eastAsia="es-ES"/>
    </w:rPr>
  </w:style>
  <w:style w:type="character" w:customStyle="1" w:styleId="CarCar2">
    <w:name w:val="Car Car2"/>
    <w:rsid w:val="006E072E"/>
    <w:rPr>
      <w:lang w:val="es-ES" w:eastAsia="es-ES"/>
    </w:rPr>
  </w:style>
  <w:style w:type="character" w:customStyle="1" w:styleId="CarCar1">
    <w:name w:val="Car Car1"/>
    <w:rsid w:val="006E072E"/>
    <w:rPr>
      <w:sz w:val="24"/>
      <w:szCs w:val="24"/>
      <w:lang w:val="es-ES" w:eastAsia="es-ES"/>
    </w:rPr>
  </w:style>
  <w:style w:type="paragraph" w:customStyle="1" w:styleId="xl25">
    <w:name w:val="xl25"/>
    <w:basedOn w:val="Normal"/>
    <w:rsid w:val="006E072E"/>
    <w:pPr>
      <w:spacing w:before="100" w:after="100"/>
      <w:jc w:val="both"/>
      <w:textAlignment w:val="center"/>
    </w:pPr>
    <w:rPr>
      <w:rFonts w:ascii="Arial" w:eastAsia="Times New Roman" w:hAnsi="Arial" w:cs="Times New Roman"/>
      <w:sz w:val="16"/>
      <w:szCs w:val="20"/>
      <w:lang w:val="es-ES" w:eastAsia="es-ES"/>
    </w:rPr>
  </w:style>
  <w:style w:type="paragraph" w:customStyle="1" w:styleId="xl26">
    <w:name w:val="xl26"/>
    <w:basedOn w:val="Normal"/>
    <w:rsid w:val="006E072E"/>
    <w:pPr>
      <w:spacing w:before="100" w:after="100"/>
      <w:jc w:val="both"/>
      <w:textAlignment w:val="center"/>
    </w:pPr>
    <w:rPr>
      <w:rFonts w:ascii="Arial" w:eastAsia="Times New Roman" w:hAnsi="Arial" w:cs="Times New Roman"/>
      <w:sz w:val="18"/>
      <w:szCs w:val="20"/>
      <w:lang w:val="es-ES" w:eastAsia="es-ES"/>
    </w:rPr>
  </w:style>
  <w:style w:type="paragraph" w:styleId="Mapadeldocumento">
    <w:name w:val="Document Map"/>
    <w:basedOn w:val="Normal"/>
    <w:link w:val="MapadeldocumentoCar"/>
    <w:rsid w:val="006E072E"/>
    <w:pPr>
      <w:shd w:val="clear" w:color="auto" w:fill="000080"/>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6E072E"/>
    <w:rPr>
      <w:rFonts w:ascii="Tahoma" w:eastAsia="Times New Roman" w:hAnsi="Tahoma" w:cs="Tahoma"/>
      <w:sz w:val="20"/>
      <w:szCs w:val="20"/>
      <w:shd w:val="clear" w:color="auto" w:fill="000080"/>
      <w:lang w:val="es-ES" w:eastAsia="es-ES"/>
    </w:rPr>
  </w:style>
  <w:style w:type="character" w:customStyle="1" w:styleId="CarCar">
    <w:name w:val="Car Car"/>
    <w:rsid w:val="006E072E"/>
    <w:rPr>
      <w:rFonts w:ascii="Tahoma" w:hAnsi="Tahoma" w:cs="Tahoma"/>
      <w:shd w:val="clear" w:color="auto" w:fill="000080"/>
      <w:lang w:val="es-ES" w:eastAsia="es-ES"/>
    </w:rPr>
  </w:style>
  <w:style w:type="character" w:customStyle="1" w:styleId="CarCar6">
    <w:name w:val="Car Car6"/>
    <w:rsid w:val="006E072E"/>
    <w:rPr>
      <w:sz w:val="24"/>
      <w:szCs w:val="24"/>
      <w:lang w:val="es-MX" w:eastAsia="es-ES" w:bidi="ar-SA"/>
    </w:rPr>
  </w:style>
  <w:style w:type="character" w:customStyle="1" w:styleId="CarCar7">
    <w:name w:val="Car Car7"/>
    <w:rsid w:val="006E072E"/>
    <w:rPr>
      <w:rFonts w:ascii="Arial" w:hAnsi="Arial" w:cs="Arial"/>
      <w:sz w:val="22"/>
      <w:szCs w:val="22"/>
      <w:lang w:val="es-ES" w:eastAsia="es-ES" w:bidi="ar-SA"/>
    </w:rPr>
  </w:style>
  <w:style w:type="character" w:styleId="Hipervnculo">
    <w:name w:val="Hyperlink"/>
    <w:rsid w:val="006E072E"/>
    <w:rPr>
      <w:color w:val="0000FF"/>
      <w:u w:val="single"/>
    </w:rPr>
  </w:style>
  <w:style w:type="character" w:styleId="Hipervnculovisitado">
    <w:name w:val="FollowedHyperlink"/>
    <w:rsid w:val="006E072E"/>
    <w:rPr>
      <w:color w:val="800080"/>
      <w:u w:val="single"/>
    </w:rPr>
  </w:style>
  <w:style w:type="character" w:styleId="Nmerodelnea">
    <w:name w:val="line number"/>
    <w:rsid w:val="006E072E"/>
  </w:style>
  <w:style w:type="character" w:customStyle="1" w:styleId="apple-style-span">
    <w:name w:val="apple-style-span"/>
    <w:rsid w:val="006E072E"/>
    <w:rPr>
      <w:rFonts w:cs="Times New Roman"/>
    </w:rPr>
  </w:style>
  <w:style w:type="paragraph" w:customStyle="1" w:styleId="Texto">
    <w:name w:val="Texto"/>
    <w:basedOn w:val="Normal"/>
    <w:rsid w:val="006E072E"/>
    <w:pPr>
      <w:spacing w:after="101" w:line="216" w:lineRule="exact"/>
      <w:ind w:firstLine="288"/>
      <w:jc w:val="both"/>
    </w:pPr>
    <w:rPr>
      <w:rFonts w:ascii="Arial" w:eastAsia="Times New Roman" w:hAnsi="Arial" w:cs="Arial"/>
      <w:sz w:val="18"/>
      <w:szCs w:val="18"/>
      <w:lang w:eastAsia="es-MX"/>
    </w:rPr>
  </w:style>
  <w:style w:type="character" w:customStyle="1" w:styleId="A5">
    <w:name w:val="A5"/>
    <w:rsid w:val="006E072E"/>
    <w:rPr>
      <w:rFonts w:ascii="Fedra Serif A Pro Book" w:hAnsi="Fedra Serif A Pro Book"/>
      <w:color w:val="57585A"/>
      <w:sz w:val="20"/>
    </w:rPr>
  </w:style>
  <w:style w:type="character" w:customStyle="1" w:styleId="A2">
    <w:name w:val="A2"/>
    <w:rsid w:val="006E072E"/>
    <w:rPr>
      <w:color w:val="000000"/>
      <w:sz w:val="20"/>
    </w:rPr>
  </w:style>
  <w:style w:type="character" w:customStyle="1" w:styleId="A11">
    <w:name w:val="A1+1"/>
    <w:uiPriority w:val="99"/>
    <w:rsid w:val="006E072E"/>
    <w:rPr>
      <w:rFonts w:cs="HelveticaNeueLT Std Lt Cn"/>
      <w:color w:val="000000"/>
      <w:sz w:val="22"/>
      <w:szCs w:val="22"/>
    </w:rPr>
  </w:style>
  <w:style w:type="paragraph" w:customStyle="1" w:styleId="Pa21">
    <w:name w:val="Pa2+1"/>
    <w:basedOn w:val="Default"/>
    <w:next w:val="Default"/>
    <w:uiPriority w:val="99"/>
    <w:rsid w:val="006E072E"/>
    <w:pPr>
      <w:spacing w:line="221" w:lineRule="atLeast"/>
    </w:pPr>
    <w:rPr>
      <w:rFonts w:ascii="Gotham" w:eastAsiaTheme="minorHAnsi" w:hAnsi="Gotham" w:cstheme="minorBidi"/>
      <w:color w:val="auto"/>
      <w:lang w:eastAsia="en-US"/>
    </w:rPr>
  </w:style>
  <w:style w:type="character" w:customStyle="1" w:styleId="A31">
    <w:name w:val="A3+1"/>
    <w:uiPriority w:val="99"/>
    <w:rsid w:val="006E072E"/>
    <w:rPr>
      <w:rFonts w:cs="Gotham"/>
      <w:color w:val="000000"/>
      <w:sz w:val="20"/>
      <w:szCs w:val="20"/>
    </w:rPr>
  </w:style>
  <w:style w:type="paragraph" w:customStyle="1" w:styleId="Pa91">
    <w:name w:val="Pa9+1"/>
    <w:basedOn w:val="Default"/>
    <w:next w:val="Default"/>
    <w:uiPriority w:val="99"/>
    <w:rsid w:val="006E072E"/>
    <w:pPr>
      <w:spacing w:line="221" w:lineRule="atLeast"/>
    </w:pPr>
    <w:rPr>
      <w:rFonts w:ascii="Gotham" w:eastAsiaTheme="minorHAnsi" w:hAnsi="Gotham" w:cstheme="minorBidi"/>
      <w:color w:val="auto"/>
      <w:lang w:eastAsia="en-US"/>
    </w:rPr>
  </w:style>
  <w:style w:type="paragraph" w:customStyle="1" w:styleId="Pa1">
    <w:name w:val="Pa1"/>
    <w:basedOn w:val="Normal"/>
    <w:next w:val="Normal"/>
    <w:uiPriority w:val="99"/>
    <w:rsid w:val="006E072E"/>
    <w:pPr>
      <w:autoSpaceDE w:val="0"/>
      <w:autoSpaceDN w:val="0"/>
      <w:adjustRightInd w:val="0"/>
      <w:spacing w:line="241" w:lineRule="atLeast"/>
    </w:pPr>
    <w:rPr>
      <w:rFonts w:ascii="Montserrat" w:eastAsiaTheme="minorEastAsia" w:hAnsi="Montserrat"/>
      <w:sz w:val="24"/>
      <w:szCs w:val="24"/>
      <w:lang w:eastAsia="es-MX"/>
    </w:rPr>
  </w:style>
  <w:style w:type="character" w:styleId="nfasisintenso">
    <w:name w:val="Intense Emphasis"/>
    <w:basedOn w:val="Fuentedeprrafopredeter"/>
    <w:uiPriority w:val="21"/>
    <w:qFormat/>
    <w:rsid w:val="006E072E"/>
    <w:rPr>
      <w:b/>
      <w:bCs/>
      <w:i/>
      <w:iCs/>
      <w:color w:val="B5A66B" w:themeColor="accent1"/>
    </w:rPr>
  </w:style>
  <w:style w:type="paragraph" w:customStyle="1" w:styleId="Pa3">
    <w:name w:val="Pa3"/>
    <w:basedOn w:val="Normal"/>
    <w:next w:val="Normal"/>
    <w:uiPriority w:val="99"/>
    <w:rsid w:val="006E072E"/>
    <w:pPr>
      <w:autoSpaceDE w:val="0"/>
      <w:autoSpaceDN w:val="0"/>
      <w:adjustRightInd w:val="0"/>
      <w:spacing w:line="201" w:lineRule="atLeast"/>
    </w:pPr>
    <w:rPr>
      <w:rFonts w:ascii="Aller" w:eastAsia="Times New Roman" w:hAnsi="Aller" w:cs="Times New Roman"/>
      <w:sz w:val="24"/>
      <w:szCs w:val="24"/>
      <w:lang w:eastAsia="es-MX"/>
    </w:rPr>
  </w:style>
  <w:style w:type="character" w:customStyle="1" w:styleId="A4">
    <w:name w:val="A4"/>
    <w:uiPriority w:val="99"/>
    <w:rsid w:val="006E072E"/>
    <w:rPr>
      <w:rFonts w:cs="Gotham Light"/>
      <w:color w:val="000000"/>
      <w:sz w:val="20"/>
      <w:szCs w:val="20"/>
    </w:rPr>
  </w:style>
  <w:style w:type="character" w:styleId="Textoennegrita">
    <w:name w:val="Strong"/>
    <w:basedOn w:val="Fuentedeprrafopredeter"/>
    <w:uiPriority w:val="22"/>
    <w:qFormat/>
    <w:rsid w:val="006E072E"/>
    <w:rPr>
      <w:b/>
      <w:bCs/>
    </w:rPr>
  </w:style>
  <w:style w:type="character" w:customStyle="1" w:styleId="st">
    <w:name w:val="st"/>
    <w:basedOn w:val="Fuentedeprrafopredeter"/>
    <w:rsid w:val="006E072E"/>
  </w:style>
  <w:style w:type="paragraph" w:customStyle="1" w:styleId="Estilo1">
    <w:name w:val="Estilo1"/>
    <w:basedOn w:val="Normal"/>
    <w:rsid w:val="006E072E"/>
    <w:pPr>
      <w:pBdr>
        <w:bottom w:val="single" w:sz="4" w:space="1" w:color="C0C0C0"/>
      </w:pBdr>
      <w:autoSpaceDE w:val="0"/>
      <w:autoSpaceDN w:val="0"/>
      <w:adjustRightInd w:val="0"/>
      <w:outlineLvl w:val="0"/>
    </w:pPr>
    <w:rPr>
      <w:rFonts w:ascii="Arial" w:eastAsia="Times New Roman" w:hAnsi="Arial" w:cs="Arial"/>
      <w:b/>
      <w:iCs/>
      <w:sz w:val="20"/>
      <w:szCs w:val="20"/>
      <w:lang w:val="es-ES" w:eastAsia="es-ES"/>
    </w:rPr>
  </w:style>
  <w:style w:type="numbering" w:customStyle="1" w:styleId="Sinlista1">
    <w:name w:val="Sin lista1"/>
    <w:next w:val="Sinlista"/>
    <w:uiPriority w:val="99"/>
    <w:semiHidden/>
    <w:unhideWhenUsed/>
    <w:rsid w:val="0061358A"/>
  </w:style>
  <w:style w:type="table" w:customStyle="1" w:styleId="Tablaconcuadrcula1">
    <w:name w:val="Tabla con cuadrícula1"/>
    <w:basedOn w:val="Tablanormal"/>
    <w:next w:val="Tablaconcuadrcula"/>
    <w:rsid w:val="0061358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61">
    <w:name w:val="Sombreado claro - Énfasis 61"/>
    <w:basedOn w:val="Tablanormal"/>
    <w:next w:val="Sombreadoclaro-nfasis6"/>
    <w:uiPriority w:val="60"/>
    <w:rsid w:val="0061358A"/>
    <w:pPr>
      <w:spacing w:after="0" w:line="240" w:lineRule="auto"/>
    </w:pPr>
    <w:rPr>
      <w:color w:val="752305"/>
    </w:rPr>
    <w:tblPr>
      <w:tblStyleRowBandSize w:val="1"/>
      <w:tblStyleColBandSize w:val="1"/>
      <w:tblBorders>
        <w:top w:val="single" w:sz="8" w:space="0" w:color="9D2F07"/>
        <w:bottom w:val="single" w:sz="8" w:space="0" w:color="9D2F07"/>
      </w:tblBorders>
    </w:tblPr>
    <w:tblStylePr w:type="firstRow">
      <w:pPr>
        <w:spacing w:before="0" w:after="0" w:line="240" w:lineRule="auto"/>
      </w:pPr>
      <w:rPr>
        <w:b/>
        <w:bCs/>
      </w:rPr>
      <w:tblPr/>
      <w:tcPr>
        <w:tcBorders>
          <w:top w:val="single" w:sz="8" w:space="0" w:color="9D2F07"/>
          <w:left w:val="nil"/>
          <w:bottom w:val="single" w:sz="8" w:space="0" w:color="9D2F07"/>
          <w:right w:val="nil"/>
          <w:insideH w:val="nil"/>
          <w:insideV w:val="nil"/>
        </w:tcBorders>
      </w:tcPr>
    </w:tblStylePr>
    <w:tblStylePr w:type="lastRow">
      <w:pPr>
        <w:spacing w:before="0" w:after="0" w:line="240" w:lineRule="auto"/>
      </w:pPr>
      <w:rPr>
        <w:b/>
        <w:bCs/>
      </w:rPr>
      <w:tblPr/>
      <w:tcPr>
        <w:tcBorders>
          <w:top w:val="single" w:sz="8" w:space="0" w:color="9D2F07"/>
          <w:left w:val="nil"/>
          <w:bottom w:val="single" w:sz="8" w:space="0" w:color="9D2F0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C1AD"/>
      </w:tcPr>
    </w:tblStylePr>
    <w:tblStylePr w:type="band1Horz">
      <w:tblPr/>
      <w:tcPr>
        <w:tcBorders>
          <w:left w:val="nil"/>
          <w:right w:val="nil"/>
          <w:insideH w:val="nil"/>
          <w:insideV w:val="nil"/>
        </w:tcBorders>
        <w:shd w:val="clear" w:color="auto" w:fill="FBC1AD"/>
      </w:tcPr>
    </w:tblStylePr>
  </w:style>
  <w:style w:type="table" w:customStyle="1" w:styleId="Tablanormal211">
    <w:name w:val="Tabla normal 211"/>
    <w:basedOn w:val="Tablanormal"/>
    <w:uiPriority w:val="42"/>
    <w:rsid w:val="0061358A"/>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31414">
      <w:bodyDiv w:val="1"/>
      <w:marLeft w:val="0"/>
      <w:marRight w:val="0"/>
      <w:marTop w:val="0"/>
      <w:marBottom w:val="0"/>
      <w:divBdr>
        <w:top w:val="none" w:sz="0" w:space="0" w:color="auto"/>
        <w:left w:val="none" w:sz="0" w:space="0" w:color="auto"/>
        <w:bottom w:val="none" w:sz="0" w:space="0" w:color="auto"/>
        <w:right w:val="none" w:sz="0" w:space="0" w:color="auto"/>
      </w:divBdr>
    </w:div>
    <w:div w:id="137036283">
      <w:bodyDiv w:val="1"/>
      <w:marLeft w:val="0"/>
      <w:marRight w:val="0"/>
      <w:marTop w:val="0"/>
      <w:marBottom w:val="0"/>
      <w:divBdr>
        <w:top w:val="none" w:sz="0" w:space="0" w:color="auto"/>
        <w:left w:val="none" w:sz="0" w:space="0" w:color="auto"/>
        <w:bottom w:val="none" w:sz="0" w:space="0" w:color="auto"/>
        <w:right w:val="none" w:sz="0" w:space="0" w:color="auto"/>
      </w:divBdr>
    </w:div>
    <w:div w:id="211313054">
      <w:bodyDiv w:val="1"/>
      <w:marLeft w:val="0"/>
      <w:marRight w:val="0"/>
      <w:marTop w:val="0"/>
      <w:marBottom w:val="0"/>
      <w:divBdr>
        <w:top w:val="none" w:sz="0" w:space="0" w:color="auto"/>
        <w:left w:val="none" w:sz="0" w:space="0" w:color="auto"/>
        <w:bottom w:val="none" w:sz="0" w:space="0" w:color="auto"/>
        <w:right w:val="none" w:sz="0" w:space="0" w:color="auto"/>
      </w:divBdr>
    </w:div>
    <w:div w:id="348410696">
      <w:bodyDiv w:val="1"/>
      <w:marLeft w:val="0"/>
      <w:marRight w:val="0"/>
      <w:marTop w:val="0"/>
      <w:marBottom w:val="0"/>
      <w:divBdr>
        <w:top w:val="none" w:sz="0" w:space="0" w:color="auto"/>
        <w:left w:val="none" w:sz="0" w:space="0" w:color="auto"/>
        <w:bottom w:val="none" w:sz="0" w:space="0" w:color="auto"/>
        <w:right w:val="none" w:sz="0" w:space="0" w:color="auto"/>
      </w:divBdr>
    </w:div>
    <w:div w:id="807430528">
      <w:bodyDiv w:val="1"/>
      <w:marLeft w:val="0"/>
      <w:marRight w:val="0"/>
      <w:marTop w:val="0"/>
      <w:marBottom w:val="0"/>
      <w:divBdr>
        <w:top w:val="none" w:sz="0" w:space="0" w:color="auto"/>
        <w:left w:val="none" w:sz="0" w:space="0" w:color="auto"/>
        <w:bottom w:val="none" w:sz="0" w:space="0" w:color="auto"/>
        <w:right w:val="none" w:sz="0" w:space="0" w:color="auto"/>
      </w:divBdr>
    </w:div>
    <w:div w:id="822628028">
      <w:bodyDiv w:val="1"/>
      <w:marLeft w:val="0"/>
      <w:marRight w:val="0"/>
      <w:marTop w:val="0"/>
      <w:marBottom w:val="0"/>
      <w:divBdr>
        <w:top w:val="none" w:sz="0" w:space="0" w:color="auto"/>
        <w:left w:val="none" w:sz="0" w:space="0" w:color="auto"/>
        <w:bottom w:val="none" w:sz="0" w:space="0" w:color="auto"/>
        <w:right w:val="none" w:sz="0" w:space="0" w:color="auto"/>
      </w:divBdr>
    </w:div>
    <w:div w:id="1559827691">
      <w:bodyDiv w:val="1"/>
      <w:marLeft w:val="0"/>
      <w:marRight w:val="0"/>
      <w:marTop w:val="0"/>
      <w:marBottom w:val="0"/>
      <w:divBdr>
        <w:top w:val="none" w:sz="0" w:space="0" w:color="auto"/>
        <w:left w:val="none" w:sz="0" w:space="0" w:color="auto"/>
        <w:bottom w:val="none" w:sz="0" w:space="0" w:color="auto"/>
        <w:right w:val="none" w:sz="0" w:space="0" w:color="auto"/>
      </w:divBdr>
    </w:div>
    <w:div w:id="171438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1" Type="http://schemas.openxmlformats.org/officeDocument/2006/relationships/image" Target="media/image4.png"/><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image" Target="media/image37.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png"/><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header" Target="header2.xml"/><Relationship Id="rId20" Type="http://schemas.openxmlformats.org/officeDocument/2006/relationships/image" Target="media/image13.emf"/><Relationship Id="rId41" Type="http://schemas.openxmlformats.org/officeDocument/2006/relationships/image" Target="media/image34.emf"/><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40.png"/></Relationships>
</file>

<file path=word/_rels/header1.xml.rels><?xml version="1.0" encoding="UTF-8" standalone="yes"?>
<Relationships xmlns="http://schemas.openxmlformats.org/package/2006/relationships"><Relationship Id="rId1" Type="http://schemas.openxmlformats.org/officeDocument/2006/relationships/image" Target="media/image38.png"/></Relationships>
</file>

<file path=word/_rels/header2.xml.rels><?xml version="1.0" encoding="UTF-8" standalone="yes"?>
<Relationships xmlns="http://schemas.openxmlformats.org/package/2006/relationships"><Relationship Id="rId1" Type="http://schemas.openxmlformats.org/officeDocument/2006/relationships/image" Target="media/image39.png"/></Relationships>
</file>

<file path=word/theme/theme1.xml><?xml version="1.0" encoding="utf-8"?>
<a:theme xmlns:a="http://schemas.openxmlformats.org/drawingml/2006/main" name="Tema de Office">
  <a:themeElements>
    <a:clrScheme name="GOB 2019 - 2024">
      <a:dk1>
        <a:sysClr val="windowText" lastClr="000000"/>
      </a:dk1>
      <a:lt1>
        <a:sysClr val="window" lastClr="FFFFFF"/>
      </a:lt1>
      <a:dk2>
        <a:srgbClr val="B5A66B"/>
      </a:dk2>
      <a:lt2>
        <a:srgbClr val="4B4B4D"/>
      </a:lt2>
      <a:accent1>
        <a:srgbClr val="B5A66B"/>
      </a:accent1>
      <a:accent2>
        <a:srgbClr val="9E213D"/>
      </a:accent2>
      <a:accent3>
        <a:srgbClr val="4B4B4D"/>
      </a:accent3>
      <a:accent4>
        <a:srgbClr val="661429"/>
      </a:accent4>
      <a:accent5>
        <a:srgbClr val="612147"/>
      </a:accent5>
      <a:accent6>
        <a:srgbClr val="E3D9BA"/>
      </a:accent6>
      <a:hlink>
        <a:srgbClr val="621132"/>
      </a:hlink>
      <a:folHlink>
        <a:srgbClr val="B5A66B"/>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5021B-1144-4179-A8F3-5FE9D5EFB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19</Pages>
  <Words>3559</Words>
  <Characters>19578</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Susana Hernández Gutiérrez</dc:creator>
  <cp:keywords/>
  <dc:description/>
  <cp:lastModifiedBy>Jesús Gabriel Coyoli González</cp:lastModifiedBy>
  <cp:revision>40</cp:revision>
  <cp:lastPrinted>2023-08-11T17:00:00Z</cp:lastPrinted>
  <dcterms:created xsi:type="dcterms:W3CDTF">2023-08-14T18:57:00Z</dcterms:created>
  <dcterms:modified xsi:type="dcterms:W3CDTF">2023-11-17T17:58:00Z</dcterms:modified>
</cp:coreProperties>
</file>