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827E" w14:textId="77777777" w:rsidR="00F74A9B" w:rsidRPr="00F74A9B" w:rsidRDefault="00F74A9B" w:rsidP="00F74A9B">
      <w:pPr>
        <w:autoSpaceDE w:val="0"/>
        <w:autoSpaceDN w:val="0"/>
        <w:adjustRightInd w:val="0"/>
        <w:jc w:val="center"/>
        <w:rPr>
          <w:rFonts w:eastAsia="Calibri"/>
          <w:b/>
          <w:iCs w:val="0"/>
          <w:color w:val="9E213D"/>
          <w:sz w:val="28"/>
          <w:szCs w:val="28"/>
          <w:lang w:val="es-MX" w:eastAsia="en-US"/>
        </w:rPr>
      </w:pPr>
      <w:bookmarkStart w:id="0" w:name="_GoBack"/>
      <w:bookmarkEnd w:id="0"/>
      <w:r w:rsidRPr="00F74A9B">
        <w:rPr>
          <w:rFonts w:eastAsia="Calibri"/>
          <w:b/>
          <w:iCs w:val="0"/>
          <w:color w:val="9E213D"/>
          <w:sz w:val="28"/>
          <w:szCs w:val="28"/>
          <w:lang w:val="es-MX" w:eastAsia="en-US"/>
        </w:rPr>
        <w:t>Notas a los estados financieros consolidados</w:t>
      </w:r>
    </w:p>
    <w:p w14:paraId="2411F264" w14:textId="77777777" w:rsidR="00F74A9B" w:rsidRPr="00F74A9B" w:rsidRDefault="00F74A9B" w:rsidP="00F74A9B">
      <w:pPr>
        <w:jc w:val="center"/>
        <w:rPr>
          <w:rFonts w:eastAsia="Calibri"/>
          <w:iCs w:val="0"/>
          <w:color w:val="9E213D"/>
          <w:sz w:val="24"/>
          <w:szCs w:val="24"/>
          <w:lang w:val="es-MX"/>
        </w:rPr>
      </w:pPr>
      <w:r w:rsidRPr="00F74A9B">
        <w:rPr>
          <w:rFonts w:eastAsia="Calibri"/>
          <w:iCs w:val="0"/>
          <w:color w:val="9E213D"/>
          <w:sz w:val="24"/>
          <w:szCs w:val="24"/>
          <w:lang w:val="es-MX"/>
        </w:rPr>
        <w:t>DEL 1 DE ENERO AL 30 DE JUNIO DE 2023</w:t>
      </w:r>
    </w:p>
    <w:p w14:paraId="5F8CBF44" w14:textId="77777777" w:rsidR="00F74A9B" w:rsidRPr="00F74A9B" w:rsidRDefault="00F74A9B" w:rsidP="00F74A9B">
      <w:pPr>
        <w:jc w:val="center"/>
        <w:rPr>
          <w:rFonts w:eastAsia="Calibri"/>
          <w:iCs w:val="0"/>
          <w:color w:val="9E213D"/>
          <w:sz w:val="24"/>
          <w:szCs w:val="24"/>
          <w:lang w:val="es-MX"/>
        </w:rPr>
      </w:pPr>
      <w:r w:rsidRPr="00F74A9B">
        <w:rPr>
          <w:rFonts w:eastAsia="Calibri"/>
          <w:iCs w:val="0"/>
          <w:color w:val="9E213D"/>
          <w:sz w:val="24"/>
          <w:szCs w:val="24"/>
          <w:lang w:val="es-MX"/>
        </w:rPr>
        <w:t>(Cifras en pesos)</w:t>
      </w:r>
    </w:p>
    <w:p w14:paraId="32846971" w14:textId="77777777" w:rsidR="00F74A9B" w:rsidRPr="00F74A9B" w:rsidRDefault="00F74A9B" w:rsidP="00F74A9B">
      <w:pPr>
        <w:jc w:val="both"/>
        <w:rPr>
          <w:rFonts w:eastAsia="Calibri" w:cs="Times New Roman"/>
          <w:b/>
          <w:iCs w:val="0"/>
          <w:szCs w:val="22"/>
          <w:lang w:val="es-MX" w:eastAsia="en-US"/>
        </w:rPr>
      </w:pPr>
    </w:p>
    <w:p w14:paraId="236872C9" w14:textId="77777777" w:rsidR="00F74A9B" w:rsidRPr="00F74A9B" w:rsidRDefault="00F74A9B" w:rsidP="00F74A9B">
      <w:pPr>
        <w:jc w:val="both"/>
        <w:rPr>
          <w:rFonts w:eastAsia="Calibri" w:cs="Times New Roman"/>
          <w:b/>
          <w:iCs w:val="0"/>
          <w:szCs w:val="22"/>
          <w:lang w:val="es-MX" w:eastAsia="en-US"/>
        </w:rPr>
      </w:pPr>
    </w:p>
    <w:p w14:paraId="69EBD201" w14:textId="1CCDEF77" w:rsidR="00F74A9B" w:rsidRPr="00F74A9B" w:rsidRDefault="00F74A9B" w:rsidP="00F74A9B">
      <w:pPr>
        <w:jc w:val="both"/>
        <w:rPr>
          <w:rFonts w:eastAsia="Calibri" w:cs="Times New Roman"/>
          <w:b/>
          <w:iCs w:val="0"/>
          <w:sz w:val="22"/>
          <w:szCs w:val="22"/>
          <w:lang w:val="es-MX" w:eastAsia="en-US"/>
        </w:rPr>
      </w:pPr>
      <w:r w:rsidRPr="00F74A9B">
        <w:rPr>
          <w:rFonts w:eastAsia="Calibri" w:cs="Times New Roman"/>
          <w:b/>
          <w:iCs w:val="0"/>
          <w:sz w:val="24"/>
          <w:szCs w:val="22"/>
          <w:lang w:val="es-MX" w:eastAsia="en-US"/>
        </w:rPr>
        <w:t>Introducción</w:t>
      </w:r>
    </w:p>
    <w:p w14:paraId="16E46661" w14:textId="77777777" w:rsidR="00F74A9B" w:rsidRPr="00F74A9B" w:rsidRDefault="00F74A9B" w:rsidP="00F74A9B">
      <w:pPr>
        <w:jc w:val="both"/>
        <w:rPr>
          <w:rFonts w:eastAsia="Calibri" w:cs="Times New Roman"/>
          <w:b/>
          <w:iCs w:val="0"/>
          <w:szCs w:val="22"/>
          <w:lang w:val="es-MX" w:eastAsia="en-US"/>
        </w:rPr>
      </w:pPr>
    </w:p>
    <w:p w14:paraId="53384DEF" w14:textId="77777777" w:rsidR="00F74A9B" w:rsidRPr="00F74A9B" w:rsidRDefault="00F74A9B" w:rsidP="00F74A9B">
      <w:pPr>
        <w:jc w:val="both"/>
        <w:rPr>
          <w:rFonts w:eastAsia="Calibri" w:cs="Times New Roman"/>
          <w:bCs/>
          <w:iCs w:val="0"/>
          <w:szCs w:val="22"/>
          <w:lang w:val="es-MX" w:eastAsia="en-US"/>
        </w:rPr>
      </w:pPr>
      <w:r w:rsidRPr="00F74A9B">
        <w:rPr>
          <w:rFonts w:eastAsia="Calibri" w:cs="Times New Roman"/>
          <w:bCs/>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30 de junio de 2023, con los siguientes apartados:</w:t>
      </w:r>
    </w:p>
    <w:p w14:paraId="3212BA98" w14:textId="77777777" w:rsidR="00F74A9B" w:rsidRPr="00F74A9B" w:rsidRDefault="00F74A9B" w:rsidP="00F74A9B">
      <w:pPr>
        <w:jc w:val="both"/>
        <w:rPr>
          <w:rFonts w:eastAsia="Calibri" w:cs="Times New Roman"/>
          <w:bCs/>
          <w:iCs w:val="0"/>
          <w:szCs w:val="22"/>
          <w:lang w:val="es-MX" w:eastAsia="en-US"/>
        </w:rPr>
      </w:pPr>
    </w:p>
    <w:p w14:paraId="138D1ADC" w14:textId="77777777" w:rsidR="00F74A9B" w:rsidRPr="00F74A9B" w:rsidRDefault="00F74A9B" w:rsidP="00F74A9B">
      <w:pPr>
        <w:numPr>
          <w:ilvl w:val="0"/>
          <w:numId w:val="7"/>
        </w:numPr>
        <w:spacing w:after="120"/>
        <w:ind w:left="357" w:hanging="357"/>
        <w:jc w:val="both"/>
        <w:rPr>
          <w:bCs/>
          <w:iCs w:val="0"/>
          <w:caps/>
          <w:lang w:val="es-MX" w:eastAsia="es-MX"/>
        </w:rPr>
      </w:pPr>
      <w:r w:rsidRPr="00F74A9B">
        <w:rPr>
          <w:bCs/>
          <w:iCs w:val="0"/>
          <w:lang w:val="es-MX" w:eastAsia="es-MX"/>
        </w:rPr>
        <w:t>Notas de gestión administrativa</w:t>
      </w:r>
    </w:p>
    <w:p w14:paraId="274C21E5" w14:textId="77777777" w:rsidR="00F74A9B" w:rsidRPr="00F74A9B" w:rsidRDefault="00F74A9B" w:rsidP="00F74A9B">
      <w:pPr>
        <w:numPr>
          <w:ilvl w:val="0"/>
          <w:numId w:val="7"/>
        </w:numPr>
        <w:spacing w:after="120"/>
        <w:ind w:left="357" w:hanging="357"/>
        <w:jc w:val="both"/>
        <w:rPr>
          <w:bCs/>
          <w:iCs w:val="0"/>
          <w:caps/>
          <w:lang w:val="es-MX" w:eastAsia="es-MX"/>
        </w:rPr>
      </w:pPr>
      <w:r w:rsidRPr="00F74A9B">
        <w:rPr>
          <w:bCs/>
          <w:iCs w:val="0"/>
          <w:lang w:val="es-MX" w:eastAsia="es-MX"/>
        </w:rPr>
        <w:t>Notas de desglose, y</w:t>
      </w:r>
    </w:p>
    <w:p w14:paraId="2EBD1BF8" w14:textId="77777777" w:rsidR="00F74A9B" w:rsidRPr="00F74A9B" w:rsidRDefault="00F74A9B" w:rsidP="00F74A9B">
      <w:pPr>
        <w:numPr>
          <w:ilvl w:val="0"/>
          <w:numId w:val="7"/>
        </w:numPr>
        <w:spacing w:after="120"/>
        <w:ind w:left="357" w:hanging="357"/>
        <w:jc w:val="both"/>
        <w:rPr>
          <w:bCs/>
          <w:iCs w:val="0"/>
          <w:caps/>
          <w:lang w:val="es-MX" w:eastAsia="es-MX"/>
        </w:rPr>
      </w:pPr>
      <w:r w:rsidRPr="00F74A9B">
        <w:rPr>
          <w:bCs/>
          <w:iCs w:val="0"/>
          <w:lang w:val="es-MX" w:eastAsia="es-MX"/>
        </w:rPr>
        <w:t>Notas de memoria (cuentas de orden)</w:t>
      </w:r>
    </w:p>
    <w:p w14:paraId="27E6C167" w14:textId="77777777" w:rsidR="00F74A9B" w:rsidRPr="00F74A9B" w:rsidRDefault="00F74A9B" w:rsidP="00F74A9B">
      <w:pPr>
        <w:jc w:val="both"/>
        <w:rPr>
          <w:rFonts w:eastAsia="Calibri" w:cs="Times New Roman"/>
          <w:bCs/>
          <w:iCs w:val="0"/>
          <w:caps/>
          <w:szCs w:val="22"/>
          <w:lang w:val="es-MX" w:eastAsia="en-US"/>
        </w:rPr>
      </w:pPr>
    </w:p>
    <w:p w14:paraId="5A964AC2" w14:textId="77777777" w:rsidR="00F74A9B" w:rsidRPr="00F74A9B" w:rsidRDefault="00F74A9B" w:rsidP="00F74A9B">
      <w:pPr>
        <w:jc w:val="both"/>
        <w:rPr>
          <w:rFonts w:eastAsia="Calibri" w:cs="Times New Roman"/>
          <w:bCs/>
          <w:iCs w:val="0"/>
          <w:szCs w:val="22"/>
          <w:lang w:val="es-MX" w:eastAsia="en-US"/>
        </w:rPr>
      </w:pPr>
      <w:r w:rsidRPr="00F74A9B">
        <w:rPr>
          <w:rFonts w:eastAsia="Calibri" w:cs="Times New Roman"/>
          <w:bCs/>
          <w:iCs w:val="0"/>
          <w:szCs w:val="22"/>
          <w:lang w:val="es-MX" w:eastAsia="en-US"/>
        </w:rPr>
        <w:t>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del 23 de diciembre de 2020 y 6 de diciembre de 2022.</w:t>
      </w:r>
    </w:p>
    <w:p w14:paraId="52BED31C" w14:textId="77777777" w:rsidR="00F74A9B" w:rsidRPr="00F74A9B" w:rsidRDefault="00F74A9B" w:rsidP="00F74A9B">
      <w:pPr>
        <w:jc w:val="both"/>
        <w:rPr>
          <w:rFonts w:eastAsia="Calibri" w:cs="Times New Roman"/>
          <w:bCs/>
          <w:iCs w:val="0"/>
          <w:szCs w:val="22"/>
          <w:lang w:val="es-MX" w:eastAsia="en-US"/>
        </w:rPr>
      </w:pPr>
    </w:p>
    <w:p w14:paraId="7DB5C2D1" w14:textId="77777777" w:rsidR="00F74A9B" w:rsidRPr="00F74A9B" w:rsidRDefault="00F74A9B" w:rsidP="00F74A9B">
      <w:pPr>
        <w:jc w:val="both"/>
        <w:rPr>
          <w:rFonts w:eastAsia="Calibri" w:cs="Times New Roman"/>
          <w:bCs/>
          <w:iCs w:val="0"/>
          <w:szCs w:val="22"/>
          <w:lang w:val="es-MX" w:eastAsia="en-US"/>
        </w:rPr>
      </w:pPr>
    </w:p>
    <w:p w14:paraId="40FFD079" w14:textId="77777777" w:rsidR="00F74A9B" w:rsidRPr="00F74A9B" w:rsidRDefault="00F74A9B" w:rsidP="00F74A9B">
      <w:pPr>
        <w:jc w:val="both"/>
        <w:rPr>
          <w:rFonts w:eastAsia="Calibri" w:cs="Times New Roman"/>
          <w:b/>
          <w:iCs w:val="0"/>
          <w:sz w:val="24"/>
          <w:szCs w:val="22"/>
          <w:lang w:val="es-MX" w:eastAsia="en-US"/>
        </w:rPr>
      </w:pPr>
      <w:r w:rsidRPr="00F74A9B">
        <w:rPr>
          <w:rFonts w:eastAsia="Calibri" w:cs="Times New Roman"/>
          <w:b/>
          <w:iCs w:val="0"/>
          <w:sz w:val="24"/>
          <w:szCs w:val="22"/>
          <w:lang w:val="es-MX" w:eastAsia="en-US"/>
        </w:rPr>
        <w:t>Notas de gestión administrativa</w:t>
      </w:r>
    </w:p>
    <w:p w14:paraId="30ED983C"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25F60D51"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Las notas de gestión administrativa de las Instituciones Públicas de Seguridad Social, son producto de las notas del ente público que lo conforma, mismas que pueden ser consultadas en el ente público.</w:t>
      </w:r>
    </w:p>
    <w:p w14:paraId="6B6995E5"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p>
    <w:p w14:paraId="4CA8583E" w14:textId="77777777" w:rsidR="00F74A9B" w:rsidRPr="00F74A9B" w:rsidRDefault="00F74A9B" w:rsidP="00F74A9B">
      <w:pPr>
        <w:jc w:val="both"/>
        <w:rPr>
          <w:rFonts w:eastAsia="Calibri" w:cs="Times New Roman"/>
          <w:b/>
          <w:bCs/>
          <w:iCs w:val="0"/>
          <w:caps/>
          <w:szCs w:val="22"/>
          <w:lang w:val="es-MX" w:eastAsia="en-US"/>
        </w:rPr>
      </w:pPr>
    </w:p>
    <w:p w14:paraId="714E2BA5" w14:textId="77777777" w:rsidR="00F74A9B" w:rsidRPr="00F74A9B" w:rsidRDefault="00F74A9B" w:rsidP="00F74A9B">
      <w:pPr>
        <w:jc w:val="both"/>
        <w:rPr>
          <w:rFonts w:eastAsia="Calibri" w:cs="Times New Roman"/>
          <w:b/>
          <w:iCs w:val="0"/>
          <w:sz w:val="24"/>
          <w:szCs w:val="22"/>
          <w:lang w:val="es-MX" w:eastAsia="en-US"/>
        </w:rPr>
      </w:pPr>
      <w:bookmarkStart w:id="1" w:name="_Hlk125467046"/>
      <w:r w:rsidRPr="00F74A9B">
        <w:rPr>
          <w:rFonts w:eastAsia="Calibri" w:cs="Times New Roman"/>
          <w:b/>
          <w:iCs w:val="0"/>
          <w:sz w:val="24"/>
          <w:szCs w:val="22"/>
          <w:lang w:val="es-MX" w:eastAsia="en-US"/>
        </w:rPr>
        <w:t>Notas de desglose</w:t>
      </w:r>
    </w:p>
    <w:p w14:paraId="5EED5313" w14:textId="77777777" w:rsidR="00F74A9B" w:rsidRPr="00F74A9B" w:rsidRDefault="00F74A9B" w:rsidP="00F74A9B">
      <w:pPr>
        <w:outlineLvl w:val="0"/>
        <w:rPr>
          <w:rFonts w:eastAsia="Calibri"/>
          <w:b/>
          <w:bCs/>
          <w:iCs w:val="0"/>
          <w:szCs w:val="22"/>
          <w:lang w:val="es-MX" w:eastAsia="en-US"/>
        </w:rPr>
      </w:pPr>
    </w:p>
    <w:p w14:paraId="5198DCBD" w14:textId="77777777" w:rsidR="00F74A9B" w:rsidRPr="00F74A9B" w:rsidRDefault="00F74A9B" w:rsidP="00F74A9B">
      <w:pPr>
        <w:jc w:val="both"/>
        <w:rPr>
          <w:rFonts w:eastAsia="Calibri"/>
          <w:b/>
          <w:bCs/>
          <w:iCs w:val="0"/>
          <w:caps/>
        </w:rPr>
      </w:pPr>
      <w:r w:rsidRPr="00F74A9B">
        <w:rPr>
          <w:rFonts w:eastAsia="Calibri"/>
          <w:b/>
          <w:bCs/>
          <w:iCs w:val="0"/>
        </w:rPr>
        <w:t>Notas al estado de actividades</w:t>
      </w:r>
    </w:p>
    <w:p w14:paraId="70591A85" w14:textId="77777777" w:rsidR="00F74A9B" w:rsidRPr="00F74A9B" w:rsidRDefault="00F74A9B" w:rsidP="00F74A9B">
      <w:pPr>
        <w:jc w:val="both"/>
        <w:outlineLvl w:val="0"/>
        <w:rPr>
          <w:rFonts w:eastAsia="Calibri" w:cs="Times New Roman"/>
          <w:iCs w:val="0"/>
          <w:szCs w:val="22"/>
          <w:lang w:val="es-MX" w:eastAsia="en-US"/>
        </w:rPr>
      </w:pPr>
    </w:p>
    <w:p w14:paraId="255B54AF"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El resultado positivo obtenido del 1 de enero al 30 de junio de 2023, asciende a 413.0 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3BCC747F" w14:textId="77777777" w:rsidR="00F74A9B" w:rsidRPr="00F74A9B" w:rsidRDefault="00F74A9B" w:rsidP="00F74A9B">
      <w:pPr>
        <w:jc w:val="both"/>
        <w:outlineLvl w:val="0"/>
        <w:rPr>
          <w:rFonts w:eastAsia="Calibri" w:cs="Times New Roman"/>
          <w:iCs w:val="0"/>
          <w:szCs w:val="22"/>
          <w:lang w:val="es-MX" w:eastAsia="en-US"/>
        </w:rPr>
      </w:pPr>
    </w:p>
    <w:p w14:paraId="44BF8849" w14:textId="77777777" w:rsidR="00F74A9B" w:rsidRPr="00F74A9B" w:rsidRDefault="00F74A9B" w:rsidP="00F74A9B">
      <w:pPr>
        <w:jc w:val="both"/>
        <w:rPr>
          <w:rFonts w:eastAsia="Calibri"/>
          <w:b/>
          <w:bCs/>
          <w:iCs w:val="0"/>
        </w:rPr>
      </w:pPr>
      <w:r w:rsidRPr="00F74A9B">
        <w:rPr>
          <w:rFonts w:eastAsia="Calibri"/>
          <w:b/>
          <w:bCs/>
          <w:iCs w:val="0"/>
        </w:rPr>
        <w:t>Ingresos y otros beneficios</w:t>
      </w:r>
    </w:p>
    <w:p w14:paraId="02DC2FBD"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5420299F"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Los ingresos ascienden a 2 mil 853.9 millones de pesos, dentro de este rubro se reflejan las cuotas y aportaciones de los trabajadores del sector magisterio, burocracia, ISSTECH, convenios particulares y pensionados; así mismo se consideran los ingresos por reposición de credenciales, ingresos del deportivo, renta de espacios por estaciones de carga, domo cafetería, expedición de certificados médicos y servicios médicos a particulares.</w:t>
      </w:r>
    </w:p>
    <w:p w14:paraId="70E988EF" w14:textId="77777777" w:rsidR="00F74A9B" w:rsidRPr="00F74A9B" w:rsidRDefault="00F74A9B" w:rsidP="00F74A9B">
      <w:pPr>
        <w:jc w:val="both"/>
        <w:outlineLvl w:val="0"/>
        <w:rPr>
          <w:rFonts w:eastAsia="Calibri" w:cs="Times New Roman"/>
          <w:iCs w:val="0"/>
          <w:szCs w:val="22"/>
          <w:lang w:val="es-MX" w:eastAsia="en-US"/>
        </w:rPr>
      </w:pPr>
    </w:p>
    <w:p w14:paraId="4A37374E"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Al 30 de junio de 2023, este rubro está integrado por recursos presupuestales ministrados y radicados a través de transferencias que la Secretaría de Hacienda realiza con base al presupuesto autorizado, proporcionado con las fuentes de financiamiento Fondo de Aportaciones para el Fortalecimiento de las Entidades Federativas, para cubrir el costo de la nómina de pensionados, así como para pago de pasivos de años anteriores y del ejercicio actual, proporcionados con fuente de financiamiento de aportaciones federales.</w:t>
      </w:r>
    </w:p>
    <w:p w14:paraId="43517630" w14:textId="77777777" w:rsidR="00F74A9B" w:rsidRPr="00F74A9B" w:rsidRDefault="00F74A9B" w:rsidP="00F74A9B">
      <w:pPr>
        <w:jc w:val="both"/>
        <w:outlineLvl w:val="0"/>
        <w:rPr>
          <w:rFonts w:eastAsia="Calibri" w:cs="Times New Roman"/>
          <w:iCs w:val="0"/>
          <w:szCs w:val="22"/>
          <w:lang w:val="es-MX" w:eastAsia="en-US"/>
        </w:rPr>
      </w:pPr>
    </w:p>
    <w:p w14:paraId="272FFAE3"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76B89C12" w14:textId="0BF31438" w:rsidR="00F74A9B" w:rsidRDefault="00F74A9B" w:rsidP="00F74A9B">
      <w:pPr>
        <w:jc w:val="both"/>
        <w:outlineLvl w:val="0"/>
        <w:rPr>
          <w:rFonts w:eastAsia="Calibri" w:cs="Times New Roman"/>
          <w:iCs w:val="0"/>
          <w:szCs w:val="22"/>
          <w:lang w:val="es-MX" w:eastAsia="en-US"/>
        </w:rPr>
      </w:pPr>
    </w:p>
    <w:p w14:paraId="075B59BA" w14:textId="77777777" w:rsidR="006A5B5F" w:rsidRPr="00F74A9B" w:rsidRDefault="006A5B5F" w:rsidP="00F74A9B">
      <w:pPr>
        <w:jc w:val="both"/>
        <w:outlineLvl w:val="0"/>
        <w:rPr>
          <w:rFonts w:eastAsia="Calibri" w:cs="Times New Roman"/>
          <w:iCs w:val="0"/>
          <w:szCs w:val="22"/>
          <w:lang w:val="es-MX" w:eastAsia="en-US"/>
        </w:rPr>
      </w:pPr>
    </w:p>
    <w:p w14:paraId="234854EE" w14:textId="77777777" w:rsidR="00F74A9B" w:rsidRPr="00F74A9B" w:rsidRDefault="00F74A9B" w:rsidP="00F74A9B">
      <w:pPr>
        <w:jc w:val="both"/>
        <w:rPr>
          <w:rFonts w:eastAsia="Calibri"/>
          <w:b/>
          <w:bCs/>
          <w:iCs w:val="0"/>
        </w:rPr>
      </w:pPr>
      <w:r w:rsidRPr="00F74A9B">
        <w:rPr>
          <w:rFonts w:eastAsia="Calibri"/>
          <w:b/>
          <w:bCs/>
          <w:iCs w:val="0"/>
        </w:rPr>
        <w:lastRenderedPageBreak/>
        <w:t>Gastos y otras pérdidas</w:t>
      </w:r>
    </w:p>
    <w:p w14:paraId="28EEE1A4" w14:textId="77777777" w:rsidR="00F74A9B" w:rsidRPr="00F74A9B" w:rsidRDefault="00F74A9B" w:rsidP="00F74A9B">
      <w:pPr>
        <w:jc w:val="both"/>
        <w:outlineLvl w:val="0"/>
        <w:rPr>
          <w:rFonts w:eastAsia="Calibri" w:cs="Times New Roman"/>
          <w:iCs w:val="0"/>
          <w:szCs w:val="22"/>
          <w:lang w:val="es-MX" w:eastAsia="en-US"/>
        </w:rPr>
      </w:pPr>
    </w:p>
    <w:p w14:paraId="6F530660"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Los gastos y otras pérdidas lo integran todas las erogaciones realizadas en la operatividad, los cuales ascienden a 2 mil 440.9 millones de pesos, integrados principalmente en los capítulos 1000 servicios personales, 2000 materiales y suministros, 3000 servicios generales y 4000 transferencias, asignaciones, subsidios y otras ayudas; así como otros gastos y pérdidas extraordinarias conformado en gran parte por bienes menores a 70 UMAS.</w:t>
      </w:r>
    </w:p>
    <w:p w14:paraId="5F287ABF" w14:textId="77777777" w:rsidR="00F74A9B" w:rsidRPr="00F74A9B" w:rsidRDefault="00F74A9B" w:rsidP="00F74A9B">
      <w:pPr>
        <w:jc w:val="both"/>
        <w:outlineLvl w:val="0"/>
        <w:rPr>
          <w:rFonts w:eastAsia="Calibri" w:cs="Times New Roman"/>
          <w:iCs w:val="0"/>
          <w:szCs w:val="22"/>
          <w:lang w:val="es-MX" w:eastAsia="en-US"/>
        </w:rPr>
      </w:pPr>
    </w:p>
    <w:p w14:paraId="2EF9E48E" w14:textId="77777777" w:rsidR="00F74A9B" w:rsidRPr="00F74A9B" w:rsidRDefault="00F74A9B" w:rsidP="00F74A9B">
      <w:pPr>
        <w:jc w:val="both"/>
        <w:outlineLvl w:val="0"/>
        <w:rPr>
          <w:rFonts w:eastAsia="Calibri" w:cs="Times New Roman"/>
          <w:iCs w:val="0"/>
          <w:szCs w:val="22"/>
          <w:lang w:val="es-MX" w:eastAsia="en-US"/>
        </w:rPr>
      </w:pPr>
    </w:p>
    <w:p w14:paraId="43C1D608" w14:textId="77777777" w:rsidR="00F74A9B" w:rsidRPr="00F74A9B" w:rsidRDefault="00F74A9B" w:rsidP="00F74A9B">
      <w:pPr>
        <w:jc w:val="both"/>
        <w:rPr>
          <w:rFonts w:eastAsia="Calibri"/>
          <w:b/>
          <w:bCs/>
          <w:iCs w:val="0"/>
          <w:caps/>
        </w:rPr>
      </w:pPr>
      <w:r w:rsidRPr="00F74A9B">
        <w:rPr>
          <w:rFonts w:eastAsia="Calibri"/>
          <w:b/>
          <w:bCs/>
          <w:iCs w:val="0"/>
        </w:rPr>
        <w:t>Notas al estado de situación financiera</w:t>
      </w:r>
    </w:p>
    <w:p w14:paraId="7E3CBE74" w14:textId="77777777" w:rsidR="00F74A9B" w:rsidRPr="00F74A9B" w:rsidRDefault="00F74A9B" w:rsidP="00F74A9B">
      <w:pPr>
        <w:outlineLvl w:val="0"/>
        <w:rPr>
          <w:rFonts w:eastAsia="Calibri"/>
          <w:b/>
          <w:bCs/>
          <w:iCs w:val="0"/>
          <w:szCs w:val="22"/>
          <w:lang w:val="es-MX" w:eastAsia="en-US"/>
        </w:rPr>
      </w:pPr>
    </w:p>
    <w:p w14:paraId="7B636844" w14:textId="77777777" w:rsidR="00F74A9B" w:rsidRPr="00F74A9B" w:rsidRDefault="00F74A9B" w:rsidP="00F74A9B">
      <w:pPr>
        <w:jc w:val="both"/>
        <w:rPr>
          <w:rFonts w:eastAsia="Calibri"/>
          <w:b/>
          <w:bCs/>
          <w:iCs w:val="0"/>
        </w:rPr>
      </w:pPr>
      <w:r w:rsidRPr="00F74A9B">
        <w:rPr>
          <w:rFonts w:eastAsia="Calibri"/>
          <w:b/>
          <w:bCs/>
          <w:iCs w:val="0"/>
        </w:rPr>
        <w:t>Activo</w:t>
      </w:r>
    </w:p>
    <w:p w14:paraId="2FA3E9EC" w14:textId="77777777" w:rsidR="00F74A9B" w:rsidRPr="00F74A9B" w:rsidRDefault="00F74A9B" w:rsidP="00F74A9B">
      <w:pPr>
        <w:jc w:val="both"/>
        <w:rPr>
          <w:rFonts w:eastAsia="Calibri"/>
          <w:iCs w:val="0"/>
          <w:lang w:val="es-MX" w:eastAsia="en-US"/>
        </w:rPr>
      </w:pPr>
    </w:p>
    <w:bookmarkEnd w:id="1"/>
    <w:p w14:paraId="3E51C7E5"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El activo se compone de los fondos, valores, derechos y bienes cuantificados en términos monetarios, los cuales controla y disponen las Instituciones Públicas de Seguridad Social para la prestación de servicios públicos, éste se integra como sigue:</w:t>
      </w:r>
    </w:p>
    <w:p w14:paraId="626E68C4" w14:textId="77777777" w:rsidR="00F74A9B" w:rsidRPr="00F74A9B" w:rsidRDefault="00F74A9B" w:rsidP="00F74A9B">
      <w:pPr>
        <w:jc w:val="both"/>
        <w:outlineLvl w:val="0"/>
        <w:rPr>
          <w:rFonts w:eastAsia="Calibri" w:cs="Times New Roman"/>
          <w:b/>
          <w:bCs/>
          <w:iCs w:val="0"/>
          <w:szCs w:val="22"/>
          <w:lang w:val="es-MX" w:eastAsia="en-US"/>
        </w:rPr>
      </w:pPr>
    </w:p>
    <w:p w14:paraId="40B61978" w14:textId="77777777" w:rsidR="00F74A9B" w:rsidRPr="00F74A9B" w:rsidRDefault="00F74A9B" w:rsidP="00F74A9B">
      <w:pPr>
        <w:jc w:val="both"/>
        <w:rPr>
          <w:rFonts w:eastAsia="Calibri"/>
          <w:b/>
          <w:bCs/>
          <w:iCs w:val="0"/>
        </w:rPr>
      </w:pPr>
      <w:bookmarkStart w:id="2" w:name="_Hlk125467084"/>
      <w:r w:rsidRPr="00F74A9B">
        <w:rPr>
          <w:rFonts w:eastAsia="Calibri"/>
          <w:b/>
          <w:bCs/>
          <w:iCs w:val="0"/>
        </w:rPr>
        <w:t>Circulante</w:t>
      </w:r>
    </w:p>
    <w:bookmarkEnd w:id="2"/>
    <w:p w14:paraId="24FBEA82" w14:textId="77777777" w:rsidR="00F74A9B" w:rsidRPr="00F74A9B" w:rsidRDefault="00F74A9B" w:rsidP="00F74A9B">
      <w:pPr>
        <w:jc w:val="both"/>
        <w:rPr>
          <w:rFonts w:eastAsia="Calibri" w:cs="Times New Roman"/>
          <w:iCs w:val="0"/>
          <w:szCs w:val="22"/>
          <w:lang w:val="es-MX" w:eastAsia="en-US"/>
        </w:rPr>
      </w:pPr>
    </w:p>
    <w:p w14:paraId="6F6055DD" w14:textId="77777777" w:rsidR="00F74A9B" w:rsidRPr="00F74A9B" w:rsidRDefault="00F74A9B" w:rsidP="00F74A9B">
      <w:pPr>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C25EAE6" wp14:editId="15B13C8B">
            <wp:extent cx="3075305" cy="2551430"/>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305" cy="2551430"/>
                    </a:xfrm>
                    <a:prstGeom prst="rect">
                      <a:avLst/>
                    </a:prstGeom>
                    <a:noFill/>
                    <a:ln>
                      <a:noFill/>
                    </a:ln>
                  </pic:spPr>
                </pic:pic>
              </a:graphicData>
            </a:graphic>
          </wp:inline>
        </w:drawing>
      </w:r>
    </w:p>
    <w:p w14:paraId="5DCAFAEA" w14:textId="77777777" w:rsidR="00F74A9B" w:rsidRPr="00F74A9B" w:rsidRDefault="00F74A9B" w:rsidP="00F74A9B">
      <w:pPr>
        <w:jc w:val="both"/>
        <w:rPr>
          <w:rFonts w:eastAsia="Calibri" w:cs="Times New Roman"/>
          <w:iCs w:val="0"/>
          <w:szCs w:val="22"/>
          <w:lang w:val="es-MX" w:eastAsia="en-US"/>
        </w:rPr>
      </w:pPr>
    </w:p>
    <w:p w14:paraId="4F08D81F" w14:textId="77777777" w:rsidR="00F74A9B" w:rsidRPr="00F74A9B" w:rsidRDefault="00F74A9B" w:rsidP="00F74A9B">
      <w:pPr>
        <w:jc w:val="both"/>
        <w:rPr>
          <w:rFonts w:eastAsia="Calibri" w:cs="Times New Roman"/>
          <w:iCs w:val="0"/>
          <w:szCs w:val="22"/>
          <w:lang w:val="es-MX" w:eastAsia="en-US"/>
        </w:rPr>
      </w:pPr>
    </w:p>
    <w:p w14:paraId="2157F36E"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Efectivo y equivalentes</w:t>
      </w:r>
    </w:p>
    <w:p w14:paraId="46229874" w14:textId="77777777" w:rsidR="00F74A9B" w:rsidRPr="00F74A9B" w:rsidRDefault="00F74A9B" w:rsidP="00F74A9B">
      <w:pPr>
        <w:jc w:val="both"/>
        <w:outlineLvl w:val="0"/>
        <w:rPr>
          <w:rFonts w:eastAsia="Calibri" w:cs="Times New Roman"/>
          <w:b/>
          <w:bCs/>
          <w:i/>
          <w:szCs w:val="22"/>
          <w:lang w:val="es-MX" w:eastAsia="en-US"/>
        </w:rPr>
      </w:pPr>
    </w:p>
    <w:p w14:paraId="383F7DA5"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Al 30 de junio de 2023, este rubro expone un saldo positivo por 431.2 millones de pesos  y representa el 87.8 % del total del activo circulante se integra por ingresos, obtenidos por diversos conceptos, como: saldos en las cuentas bancarias para la operatividad de las actividades del instituto, fondos de trabajo asignados a funcionarios del instituto y los depósitos en garantía por contratos de arrendamiento de las unidades médicas y casa geriátrica de Comitán, así como la oficina de enlace de tercer nivel en la Ciudad de México.</w:t>
      </w:r>
    </w:p>
    <w:p w14:paraId="76C4052B"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590747D8" w14:textId="77777777" w:rsidR="00F74A9B" w:rsidRPr="00F74A9B" w:rsidRDefault="00F74A9B" w:rsidP="00F74A9B">
      <w:pPr>
        <w:tabs>
          <w:tab w:val="left" w:pos="1418"/>
        </w:tabs>
        <w:autoSpaceDE w:val="0"/>
        <w:autoSpaceDN w:val="0"/>
        <w:adjustRightInd w:val="0"/>
        <w:jc w:val="center"/>
        <w:rPr>
          <w:rFonts w:eastAsia="Calibri" w:cs="Times New Roman"/>
          <w:b/>
          <w:i/>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4B6C62CF" wp14:editId="2602ADE7">
            <wp:extent cx="4320000" cy="1505711"/>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1505711"/>
                    </a:xfrm>
                    <a:prstGeom prst="rect">
                      <a:avLst/>
                    </a:prstGeom>
                    <a:noFill/>
                    <a:ln>
                      <a:noFill/>
                    </a:ln>
                  </pic:spPr>
                </pic:pic>
              </a:graphicData>
            </a:graphic>
          </wp:inline>
        </w:drawing>
      </w:r>
    </w:p>
    <w:p w14:paraId="075C01D0"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6FBE41F4" w14:textId="4FD641B2" w:rsid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69A32E24" w14:textId="77777777" w:rsidR="00406EF6" w:rsidRPr="00F74A9B" w:rsidRDefault="00406EF6" w:rsidP="00F74A9B">
      <w:pPr>
        <w:tabs>
          <w:tab w:val="left" w:pos="1418"/>
        </w:tabs>
        <w:autoSpaceDE w:val="0"/>
        <w:autoSpaceDN w:val="0"/>
        <w:adjustRightInd w:val="0"/>
        <w:jc w:val="both"/>
        <w:rPr>
          <w:rFonts w:eastAsia="Calibri" w:cs="Times New Roman"/>
          <w:b/>
          <w:i/>
          <w:iCs w:val="0"/>
          <w:szCs w:val="22"/>
          <w:lang w:val="es-MX" w:eastAsia="en-US"/>
        </w:rPr>
      </w:pPr>
    </w:p>
    <w:p w14:paraId="70F53316"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lastRenderedPageBreak/>
        <w:t>Derechos a recibir efectivo o equivalentes</w:t>
      </w:r>
    </w:p>
    <w:p w14:paraId="09B5C02B"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1C99D7C3" w14:textId="77777777" w:rsidR="00F74A9B" w:rsidRPr="00F74A9B" w:rsidRDefault="00F74A9B" w:rsidP="00F74A9B">
      <w:pPr>
        <w:tabs>
          <w:tab w:val="left" w:pos="1418"/>
        </w:tabs>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Se integra por aportaciones de pensionados, cuotas y aportaciones médicas, recuperaciones de préstamos subsidio de aportaciones federales, 1 % de cuotas y aportaciones para el fondo de préstamos y subsidio al empleo que beneficia a los trabajadores del Instituto sujeto a su acreditamiento contra I.S.R. de Sueldos y Salarios. Así mismo, por fondos revolventes otorgados a las unidades médicas para el funcionamiento y desempeño de sus actividades pendientes de comprobación; de igual manera por recursos sujetos de aplicación y adeudos por diversos conceptos.</w:t>
      </w:r>
    </w:p>
    <w:p w14:paraId="54F718C6" w14:textId="77777777" w:rsidR="00F74A9B" w:rsidRPr="00F74A9B" w:rsidRDefault="00F74A9B" w:rsidP="00F74A9B">
      <w:pPr>
        <w:tabs>
          <w:tab w:val="left" w:pos="1418"/>
        </w:tabs>
        <w:autoSpaceDE w:val="0"/>
        <w:autoSpaceDN w:val="0"/>
        <w:adjustRightInd w:val="0"/>
        <w:jc w:val="both"/>
        <w:rPr>
          <w:rFonts w:eastAsia="Calibri" w:cs="Times New Roman"/>
          <w:iCs w:val="0"/>
          <w:szCs w:val="22"/>
          <w:lang w:val="es-MX" w:eastAsia="en-US"/>
        </w:rPr>
      </w:pPr>
    </w:p>
    <w:p w14:paraId="267E41F7" w14:textId="77777777" w:rsidR="00F74A9B" w:rsidRPr="00F74A9B" w:rsidRDefault="00F74A9B" w:rsidP="00F74A9B">
      <w:pPr>
        <w:tabs>
          <w:tab w:val="left" w:pos="1418"/>
        </w:tabs>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 xml:space="preserve">Este rubro al 30 de junio de 2023 asciende a 60.0 millones de pesos y representa </w:t>
      </w:r>
      <w:proofErr w:type="gramStart"/>
      <w:r w:rsidRPr="00F74A9B">
        <w:rPr>
          <w:rFonts w:eastAsia="Calibri" w:cs="Times New Roman"/>
          <w:iCs w:val="0"/>
          <w:szCs w:val="22"/>
          <w:lang w:val="es-MX" w:eastAsia="en-US"/>
        </w:rPr>
        <w:t>el  12.2</w:t>
      </w:r>
      <w:proofErr w:type="gramEnd"/>
      <w:r w:rsidRPr="00F74A9B">
        <w:rPr>
          <w:rFonts w:eastAsia="Calibri" w:cs="Times New Roman"/>
          <w:iCs w:val="0"/>
          <w:szCs w:val="22"/>
          <w:lang w:val="es-MX" w:eastAsia="en-US"/>
        </w:rPr>
        <w:t xml:space="preserve"> % del total del activo circulante.</w:t>
      </w:r>
    </w:p>
    <w:p w14:paraId="54B578FF" w14:textId="77777777" w:rsidR="00F74A9B" w:rsidRPr="00F74A9B" w:rsidRDefault="00F74A9B" w:rsidP="00F74A9B">
      <w:pPr>
        <w:tabs>
          <w:tab w:val="left" w:pos="1418"/>
        </w:tabs>
        <w:autoSpaceDE w:val="0"/>
        <w:autoSpaceDN w:val="0"/>
        <w:adjustRightInd w:val="0"/>
        <w:jc w:val="both"/>
        <w:rPr>
          <w:rFonts w:eastAsia="Calibri" w:cs="Times New Roman"/>
          <w:iCs w:val="0"/>
          <w:szCs w:val="22"/>
          <w:lang w:val="es-MX" w:eastAsia="en-US"/>
        </w:rPr>
      </w:pPr>
    </w:p>
    <w:p w14:paraId="50EFA76D" w14:textId="77777777" w:rsidR="00F74A9B" w:rsidRPr="00F74A9B" w:rsidRDefault="00F74A9B" w:rsidP="00F74A9B">
      <w:pPr>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561E36BA" wp14:editId="0D24C5BA">
            <wp:extent cx="4320000" cy="1317498"/>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1317498"/>
                    </a:xfrm>
                    <a:prstGeom prst="rect">
                      <a:avLst/>
                    </a:prstGeom>
                    <a:noFill/>
                    <a:ln>
                      <a:noFill/>
                    </a:ln>
                  </pic:spPr>
                </pic:pic>
              </a:graphicData>
            </a:graphic>
          </wp:inline>
        </w:drawing>
      </w:r>
    </w:p>
    <w:p w14:paraId="14F6E3CE" w14:textId="77777777" w:rsidR="00F74A9B" w:rsidRPr="00F74A9B" w:rsidRDefault="00F74A9B" w:rsidP="00F74A9B">
      <w:pPr>
        <w:autoSpaceDE w:val="0"/>
        <w:autoSpaceDN w:val="0"/>
        <w:adjustRightInd w:val="0"/>
        <w:jc w:val="both"/>
        <w:rPr>
          <w:rFonts w:eastAsia="Calibri"/>
          <w:b/>
          <w:bCs/>
          <w:iCs w:val="0"/>
          <w:lang w:val="es-MX" w:eastAsia="en-US"/>
        </w:rPr>
      </w:pPr>
    </w:p>
    <w:p w14:paraId="5E8E1C31" w14:textId="77777777" w:rsidR="00F74A9B" w:rsidRPr="00F74A9B" w:rsidRDefault="00F74A9B" w:rsidP="00F74A9B">
      <w:pPr>
        <w:autoSpaceDE w:val="0"/>
        <w:autoSpaceDN w:val="0"/>
        <w:adjustRightInd w:val="0"/>
        <w:jc w:val="both"/>
        <w:rPr>
          <w:rFonts w:eastAsia="Calibri"/>
          <w:b/>
          <w:bCs/>
          <w:iCs w:val="0"/>
          <w:lang w:val="es-MX" w:eastAsia="en-US"/>
        </w:rPr>
      </w:pPr>
    </w:p>
    <w:p w14:paraId="0CDC7326" w14:textId="77777777" w:rsidR="00F74A9B" w:rsidRPr="00F74A9B" w:rsidRDefault="00F74A9B" w:rsidP="00F74A9B">
      <w:pPr>
        <w:jc w:val="both"/>
        <w:rPr>
          <w:rFonts w:eastAsia="Calibri"/>
          <w:b/>
          <w:bCs/>
          <w:iCs w:val="0"/>
        </w:rPr>
      </w:pPr>
      <w:r w:rsidRPr="00F74A9B">
        <w:rPr>
          <w:rFonts w:eastAsia="Calibri"/>
          <w:b/>
          <w:bCs/>
          <w:iCs w:val="0"/>
        </w:rPr>
        <w:t>No circulante</w:t>
      </w:r>
    </w:p>
    <w:p w14:paraId="003A2923" w14:textId="77777777" w:rsidR="00F74A9B" w:rsidRPr="00F74A9B" w:rsidRDefault="00F74A9B" w:rsidP="00F74A9B">
      <w:pPr>
        <w:autoSpaceDE w:val="0"/>
        <w:autoSpaceDN w:val="0"/>
        <w:adjustRightInd w:val="0"/>
        <w:jc w:val="both"/>
        <w:rPr>
          <w:rFonts w:eastAsia="Calibri"/>
          <w:b/>
          <w:bCs/>
          <w:iCs w:val="0"/>
          <w:lang w:val="es-MX" w:eastAsia="en-US"/>
        </w:rPr>
      </w:pPr>
    </w:p>
    <w:p w14:paraId="5248DD42" w14:textId="77777777" w:rsidR="00F74A9B" w:rsidRPr="00F74A9B" w:rsidRDefault="00F74A9B" w:rsidP="00F74A9B">
      <w:pPr>
        <w:autoSpaceDE w:val="0"/>
        <w:autoSpaceDN w:val="0"/>
        <w:adjustRightInd w:val="0"/>
        <w:jc w:val="center"/>
        <w:rPr>
          <w:rFonts w:eastAsia="Calibri" w:cs="Times New Roman"/>
          <w:b/>
          <w:bCs/>
          <w:iCs w:val="0"/>
          <w:noProof/>
          <w:szCs w:val="22"/>
          <w:lang w:val="es-MX" w:eastAsia="es-MX"/>
        </w:rPr>
      </w:pPr>
      <w:r w:rsidRPr="00F74A9B">
        <w:rPr>
          <w:rFonts w:ascii="Calibri" w:eastAsia="Calibri" w:hAnsi="Calibri" w:cs="Times New Roman"/>
          <w:iCs w:val="0"/>
          <w:sz w:val="22"/>
          <w:szCs w:val="22"/>
          <w:lang w:val="es-MX" w:eastAsia="en-US"/>
        </w:rPr>
        <w:drawing>
          <wp:inline distT="0" distB="0" distL="0" distR="0" wp14:anchorId="3D949F0B" wp14:editId="09A64E01">
            <wp:extent cx="3075305" cy="26822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5305" cy="2682240"/>
                    </a:xfrm>
                    <a:prstGeom prst="rect">
                      <a:avLst/>
                    </a:prstGeom>
                    <a:noFill/>
                    <a:ln>
                      <a:noFill/>
                    </a:ln>
                  </pic:spPr>
                </pic:pic>
              </a:graphicData>
            </a:graphic>
          </wp:inline>
        </w:drawing>
      </w:r>
    </w:p>
    <w:p w14:paraId="505D19FF" w14:textId="77777777" w:rsidR="00F74A9B" w:rsidRPr="00F74A9B" w:rsidRDefault="00F74A9B" w:rsidP="00F74A9B">
      <w:pPr>
        <w:autoSpaceDE w:val="0"/>
        <w:autoSpaceDN w:val="0"/>
        <w:adjustRightInd w:val="0"/>
        <w:jc w:val="both"/>
        <w:rPr>
          <w:rFonts w:eastAsia="Calibri" w:cs="Times New Roman"/>
          <w:b/>
          <w:bCs/>
          <w:iCs w:val="0"/>
          <w:noProof/>
          <w:szCs w:val="22"/>
          <w:lang w:val="es-MX" w:eastAsia="es-MX"/>
        </w:rPr>
      </w:pPr>
    </w:p>
    <w:p w14:paraId="1EBB3EE1" w14:textId="77777777" w:rsidR="00F74A9B" w:rsidRPr="00F74A9B" w:rsidRDefault="00F74A9B" w:rsidP="00F74A9B">
      <w:pPr>
        <w:autoSpaceDE w:val="0"/>
        <w:autoSpaceDN w:val="0"/>
        <w:adjustRightInd w:val="0"/>
        <w:jc w:val="both"/>
        <w:rPr>
          <w:rFonts w:eastAsia="Calibri" w:cs="Times New Roman"/>
          <w:b/>
          <w:bCs/>
          <w:iCs w:val="0"/>
          <w:noProof/>
          <w:szCs w:val="22"/>
          <w:lang w:val="es-MX" w:eastAsia="es-MX"/>
        </w:rPr>
      </w:pPr>
    </w:p>
    <w:p w14:paraId="1067FF27"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Inversiones financieras a largo plazo</w:t>
      </w:r>
    </w:p>
    <w:p w14:paraId="00B4449A" w14:textId="77777777" w:rsidR="00F74A9B" w:rsidRPr="00F74A9B" w:rsidRDefault="00F74A9B" w:rsidP="00F74A9B">
      <w:pPr>
        <w:jc w:val="both"/>
        <w:rPr>
          <w:rFonts w:eastAsia="Calibri" w:cs="Times New Roman"/>
          <w:iCs w:val="0"/>
          <w:szCs w:val="22"/>
          <w:lang w:val="es-MX" w:eastAsia="en-US"/>
        </w:rPr>
      </w:pPr>
    </w:p>
    <w:p w14:paraId="1EB87BB9"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 xml:space="preserve">El saldo de este rubro al periodo que se informa ascienda a 1 mil 059.7 millones de pesos, mismo que representa el 46 % del activo no circulante;  integrado por el fondo de fideicomiso de pensiones y jubilaciones el cual considera las cuotas y aportaciones mensuales, la aplicación corresponde al 5 % de cuotas sobre sueldos de los trabajadores en transición y 13 % de los de nueva generación, el 31.5 % de aportaciones del gobierno de los trabajadores en transición y el 31.5 % de los trabajadores de nueva generación del sector; magisterio, burocracia e ISSTECH; así como los intereses que generan las inversiones en las casas de bolsa, e intereses generados por la </w:t>
      </w:r>
      <w:proofErr w:type="spellStart"/>
      <w:r w:rsidRPr="00F74A9B">
        <w:rPr>
          <w:rFonts w:eastAsia="Calibri" w:cs="Times New Roman"/>
          <w:iCs w:val="0"/>
          <w:szCs w:val="22"/>
          <w:lang w:val="es-MX" w:eastAsia="en-US"/>
        </w:rPr>
        <w:t>revolvencia</w:t>
      </w:r>
      <w:proofErr w:type="spellEnd"/>
      <w:r w:rsidRPr="00F74A9B">
        <w:rPr>
          <w:rFonts w:eastAsia="Calibri" w:cs="Times New Roman"/>
          <w:iCs w:val="0"/>
          <w:szCs w:val="22"/>
          <w:lang w:val="es-MX" w:eastAsia="en-US"/>
        </w:rPr>
        <w:t xml:space="preserve">  de los préstamos fideicomiso; recursos que son de exclusividad para la operatividad de los Pensionados y Jubilados, del sector Magisterio, Burocracia e ISSTECH.</w:t>
      </w:r>
    </w:p>
    <w:p w14:paraId="266F2F64" w14:textId="77777777" w:rsidR="00F74A9B" w:rsidRPr="00F74A9B" w:rsidRDefault="00F74A9B" w:rsidP="00F74A9B">
      <w:pPr>
        <w:jc w:val="both"/>
        <w:rPr>
          <w:rFonts w:eastAsia="Calibri" w:cs="Times New Roman"/>
          <w:iCs w:val="0"/>
          <w:szCs w:val="22"/>
          <w:lang w:val="es-MX" w:eastAsia="en-US"/>
        </w:rPr>
      </w:pPr>
    </w:p>
    <w:p w14:paraId="1279E3BD" w14:textId="77777777" w:rsidR="00F74A9B" w:rsidRPr="00F74A9B" w:rsidRDefault="00F74A9B" w:rsidP="00F74A9B">
      <w:pPr>
        <w:tabs>
          <w:tab w:val="left" w:pos="1418"/>
        </w:tabs>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lastRenderedPageBreak/>
        <w:drawing>
          <wp:inline distT="0" distB="0" distL="0" distR="0" wp14:anchorId="4C0B2A25" wp14:editId="7170F207">
            <wp:extent cx="4320000" cy="1129284"/>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1129284"/>
                    </a:xfrm>
                    <a:prstGeom prst="rect">
                      <a:avLst/>
                    </a:prstGeom>
                    <a:noFill/>
                    <a:ln>
                      <a:noFill/>
                    </a:ln>
                  </pic:spPr>
                </pic:pic>
              </a:graphicData>
            </a:graphic>
          </wp:inline>
        </w:drawing>
      </w:r>
    </w:p>
    <w:p w14:paraId="692281AB" w14:textId="77777777" w:rsidR="00F74A9B" w:rsidRPr="00F74A9B" w:rsidRDefault="00F74A9B" w:rsidP="00F74A9B">
      <w:pPr>
        <w:tabs>
          <w:tab w:val="left" w:pos="1418"/>
        </w:tabs>
        <w:jc w:val="both"/>
        <w:rPr>
          <w:rFonts w:eastAsia="Calibri" w:cs="Times New Roman"/>
          <w:iCs w:val="0"/>
          <w:szCs w:val="22"/>
          <w:lang w:val="es-MX" w:eastAsia="en-US"/>
        </w:rPr>
      </w:pPr>
    </w:p>
    <w:p w14:paraId="6BD5618F" w14:textId="77777777" w:rsidR="00F74A9B" w:rsidRPr="00F74A9B" w:rsidRDefault="00F74A9B" w:rsidP="00F74A9B">
      <w:pPr>
        <w:tabs>
          <w:tab w:val="left" w:pos="1418"/>
        </w:tabs>
        <w:autoSpaceDE w:val="0"/>
        <w:autoSpaceDN w:val="0"/>
        <w:adjustRightInd w:val="0"/>
        <w:jc w:val="both"/>
        <w:rPr>
          <w:rFonts w:eastAsia="Calibri" w:cs="Times New Roman"/>
          <w:b/>
          <w:i/>
          <w:iCs w:val="0"/>
          <w:color w:val="B09A5B"/>
          <w:szCs w:val="22"/>
          <w:lang w:val="es-MX" w:eastAsia="en-US"/>
        </w:rPr>
      </w:pPr>
    </w:p>
    <w:p w14:paraId="740CAAC6"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Derechos a recibir efectivo o equivalentes a largo plazo</w:t>
      </w:r>
    </w:p>
    <w:p w14:paraId="250069A3"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1BE167DC" w14:textId="77777777" w:rsidR="00F74A9B" w:rsidRPr="00F74A9B" w:rsidRDefault="00F74A9B" w:rsidP="00F74A9B">
      <w:pPr>
        <w:spacing w:line="100" w:lineRule="atLeast"/>
        <w:jc w:val="both"/>
        <w:rPr>
          <w:rFonts w:eastAsia="Calibri" w:cs="Times New Roman"/>
          <w:iCs w:val="0"/>
          <w:szCs w:val="22"/>
          <w:lang w:val="es-MX" w:eastAsia="en-US"/>
        </w:rPr>
      </w:pPr>
      <w:r w:rsidRPr="00F74A9B">
        <w:rPr>
          <w:rFonts w:eastAsia="Calibri" w:cs="Times New Roman"/>
          <w:iCs w:val="0"/>
          <w:szCs w:val="22"/>
          <w:lang w:val="es-MX" w:eastAsia="en-US"/>
        </w:rPr>
        <w:t>Este rubro del activo al 30 de junio de 2023 asciende a 872.4 millones de pesos y representa el 37.9 % del activo no circulante, se integra por 4 y 5 % de aportaciones para el servicio médico de pensionados, subsidio para el pago de nómina de pensionados del sector policía, subsidio para medicamentos pendiente de recibir de la Secretaría de Hacienda, Así mismo, por las ministraciones otorgadas a las unidades médicas para el funcionamiento y desempeño de sus actividades pendientes de comprobación, recursos sujetos de aplicación y adeudos por diversos conceptos.</w:t>
      </w:r>
    </w:p>
    <w:p w14:paraId="315A2E00" w14:textId="77777777" w:rsidR="00F74A9B" w:rsidRPr="00F74A9B" w:rsidRDefault="00F74A9B" w:rsidP="00F74A9B">
      <w:pPr>
        <w:spacing w:line="100" w:lineRule="atLeast"/>
        <w:jc w:val="both"/>
        <w:rPr>
          <w:rFonts w:eastAsia="Calibri" w:cs="Times New Roman"/>
          <w:iCs w:val="0"/>
          <w:szCs w:val="22"/>
          <w:lang w:val="es-MX" w:eastAsia="en-US"/>
        </w:rPr>
      </w:pPr>
    </w:p>
    <w:p w14:paraId="6BA38FFD" w14:textId="77777777" w:rsidR="00F74A9B" w:rsidRPr="00F74A9B" w:rsidRDefault="00F74A9B" w:rsidP="00F74A9B">
      <w:pPr>
        <w:spacing w:line="100" w:lineRule="atLeast"/>
        <w:jc w:val="both"/>
        <w:rPr>
          <w:rFonts w:eastAsia="Calibri" w:cs="Times New Roman"/>
          <w:iCs w:val="0"/>
          <w:szCs w:val="22"/>
          <w:lang w:val="es-MX" w:eastAsia="en-US"/>
        </w:rPr>
      </w:pPr>
      <w:r w:rsidRPr="00F74A9B">
        <w:rPr>
          <w:rFonts w:eastAsia="Calibri" w:cs="Times New Roman"/>
          <w:iCs w:val="0"/>
          <w:szCs w:val="22"/>
          <w:lang w:val="es-MX" w:eastAsia="en-US"/>
        </w:rPr>
        <w:t>Además,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7CD7BC84" w14:textId="77777777" w:rsidR="00F74A9B" w:rsidRPr="00F74A9B" w:rsidRDefault="00F74A9B" w:rsidP="00F74A9B">
      <w:pPr>
        <w:spacing w:line="100" w:lineRule="atLeast"/>
        <w:jc w:val="both"/>
        <w:rPr>
          <w:rFonts w:eastAsia="Calibri" w:cs="Times New Roman"/>
          <w:iCs w:val="0"/>
          <w:szCs w:val="22"/>
          <w:highlight w:val="yellow"/>
          <w:lang w:val="es-MX" w:eastAsia="en-US"/>
        </w:rPr>
      </w:pPr>
    </w:p>
    <w:p w14:paraId="7B680B76" w14:textId="77777777" w:rsidR="00F74A9B" w:rsidRPr="00F74A9B" w:rsidRDefault="00F74A9B" w:rsidP="00F74A9B">
      <w:pPr>
        <w:tabs>
          <w:tab w:val="left" w:pos="1418"/>
        </w:tabs>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747067FD" wp14:editId="7F60E2D5">
            <wp:extent cx="4320000" cy="1373694"/>
            <wp:effectExtent l="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1373694"/>
                    </a:xfrm>
                    <a:prstGeom prst="rect">
                      <a:avLst/>
                    </a:prstGeom>
                    <a:noFill/>
                    <a:ln>
                      <a:noFill/>
                    </a:ln>
                  </pic:spPr>
                </pic:pic>
              </a:graphicData>
            </a:graphic>
          </wp:inline>
        </w:drawing>
      </w:r>
    </w:p>
    <w:p w14:paraId="618CA347"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6B60CCE8"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7BA1D29E"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Bienes inmuebles, infraestructura y construcciones en proceso</w:t>
      </w:r>
    </w:p>
    <w:p w14:paraId="0A19FECC" w14:textId="77777777" w:rsidR="00F74A9B" w:rsidRPr="00F74A9B" w:rsidRDefault="00F74A9B" w:rsidP="00F74A9B">
      <w:pPr>
        <w:jc w:val="both"/>
        <w:rPr>
          <w:rFonts w:eastAsia="Calibri" w:cs="Times New Roman"/>
          <w:iCs w:val="0"/>
          <w:szCs w:val="22"/>
          <w:lang w:val="es-MX" w:eastAsia="en-US"/>
        </w:rPr>
      </w:pPr>
    </w:p>
    <w:p w14:paraId="22509447"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Este rubro del activo refleja la cifra de 191.3 millones de pesos y se integra de las propiedades que tiene el instituto en el estado de Chiapas y que ocupan sus oficinas administrativas, clínicas hospitales, coordinaciones médicas y centro deportivo ISSTECH adquiridas con recursos propios y mediante donación.</w:t>
      </w:r>
    </w:p>
    <w:p w14:paraId="08553C2A" w14:textId="77777777" w:rsidR="00F74A9B" w:rsidRPr="00F74A9B" w:rsidRDefault="00F74A9B" w:rsidP="00F74A9B">
      <w:pPr>
        <w:rPr>
          <w:rFonts w:eastAsia="Calibri" w:cs="Times New Roman"/>
          <w:iCs w:val="0"/>
          <w:szCs w:val="22"/>
          <w:highlight w:val="yellow"/>
          <w:lang w:val="es-MX" w:eastAsia="en-US"/>
        </w:rPr>
      </w:pPr>
    </w:p>
    <w:p w14:paraId="48F1DEF7" w14:textId="77777777" w:rsidR="00F74A9B" w:rsidRPr="00F74A9B" w:rsidRDefault="00F74A9B" w:rsidP="00F74A9B">
      <w:pPr>
        <w:rPr>
          <w:rFonts w:eastAsia="Calibri" w:cs="Times New Roman"/>
          <w:iCs w:val="0"/>
          <w:szCs w:val="22"/>
          <w:lang w:val="es-MX" w:eastAsia="en-US"/>
        </w:rPr>
      </w:pPr>
      <w:r w:rsidRPr="00F74A9B">
        <w:rPr>
          <w:rFonts w:eastAsia="Calibri" w:cs="Times New Roman"/>
          <w:iCs w:val="0"/>
          <w:szCs w:val="22"/>
          <w:lang w:val="es-MX" w:eastAsia="en-US"/>
        </w:rPr>
        <w:t>Del total del activo no circulante al 30 de junio de 2023, este rubro representa el 8.3 %.</w:t>
      </w:r>
    </w:p>
    <w:p w14:paraId="02037D0E" w14:textId="77777777" w:rsidR="00F74A9B" w:rsidRPr="00F74A9B" w:rsidRDefault="00F74A9B" w:rsidP="00F74A9B">
      <w:pPr>
        <w:rPr>
          <w:rFonts w:eastAsia="Calibri" w:cs="Times New Roman"/>
          <w:iCs w:val="0"/>
          <w:szCs w:val="22"/>
          <w:lang w:val="es-MX" w:eastAsia="en-US"/>
        </w:rPr>
      </w:pPr>
    </w:p>
    <w:p w14:paraId="5AE134F6" w14:textId="77777777" w:rsidR="00F74A9B" w:rsidRPr="00F74A9B" w:rsidRDefault="00F74A9B" w:rsidP="00F74A9B">
      <w:pPr>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4C55EE2E" wp14:editId="2BF4AF2B">
            <wp:extent cx="4320000" cy="1317497"/>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1317497"/>
                    </a:xfrm>
                    <a:prstGeom prst="rect">
                      <a:avLst/>
                    </a:prstGeom>
                    <a:noFill/>
                    <a:ln>
                      <a:noFill/>
                    </a:ln>
                  </pic:spPr>
                </pic:pic>
              </a:graphicData>
            </a:graphic>
          </wp:inline>
        </w:drawing>
      </w:r>
    </w:p>
    <w:p w14:paraId="0CB9A806"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496FB2D0"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5D2BBE16"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Bienes muebles</w:t>
      </w:r>
    </w:p>
    <w:p w14:paraId="72283ABD"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0C626252"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 xml:space="preserve">Este renglón del activo refleja el valor de los bienes muebles que poseen las Instituciones Públicas de Seguridad Social y que al 30 de junio de 2023, asciende a un monto global de 180.1 millones de pesos y representa el 7.7 % respecto al total del activo no circulante, se integra del valor histórico  de mobiliario y equipo de administración, mobiliario y equipo educacional y recreativo, equipo e instrumental médico y de laboratorio, vehículos y equipo de transporte, maquinaria, </w:t>
      </w:r>
      <w:r w:rsidRPr="00F74A9B">
        <w:rPr>
          <w:rFonts w:eastAsia="Calibri" w:cs="Times New Roman"/>
          <w:iCs w:val="0"/>
          <w:szCs w:val="22"/>
          <w:lang w:val="es-MX" w:eastAsia="en-US"/>
        </w:rPr>
        <w:lastRenderedPageBreak/>
        <w:t xml:space="preserve">otros equipos y herramientas, y colecciones, obras de arte y objetos valiosos,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14:paraId="3562886E" w14:textId="77777777" w:rsidR="00F74A9B" w:rsidRPr="00F74A9B" w:rsidRDefault="00F74A9B" w:rsidP="00F74A9B">
      <w:pPr>
        <w:jc w:val="both"/>
        <w:rPr>
          <w:rFonts w:eastAsia="Calibri" w:cs="Times New Roman"/>
          <w:iCs w:val="0"/>
          <w:szCs w:val="22"/>
          <w:lang w:val="es-MX" w:eastAsia="en-US"/>
        </w:rPr>
      </w:pPr>
    </w:p>
    <w:p w14:paraId="2018B6FC" w14:textId="77777777" w:rsidR="00F74A9B" w:rsidRPr="00F74A9B" w:rsidRDefault="00F74A9B" w:rsidP="00F74A9B">
      <w:pPr>
        <w:tabs>
          <w:tab w:val="left" w:pos="1418"/>
        </w:tabs>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54535881" wp14:editId="54C69DAD">
            <wp:extent cx="4320000" cy="2465513"/>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0" cy="2465513"/>
                    </a:xfrm>
                    <a:prstGeom prst="rect">
                      <a:avLst/>
                    </a:prstGeom>
                    <a:noFill/>
                    <a:ln>
                      <a:noFill/>
                    </a:ln>
                  </pic:spPr>
                </pic:pic>
              </a:graphicData>
            </a:graphic>
          </wp:inline>
        </w:drawing>
      </w:r>
    </w:p>
    <w:p w14:paraId="6F309EE9"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374D47C8"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2AC7964E"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Activos intangibles</w:t>
      </w:r>
    </w:p>
    <w:p w14:paraId="45DDEF39"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6E2F4315"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Al 30 de junio de 2023, este rubro asciende a 0.6 millones de pesos, representando el 0.1 % respecto al total del activo no circulante, se integra por la adquisición de licencias de antivirus, así como de paquetes informáticos para el desarrollo de las actividades de la unidad de tecnologías de la información, adquiridos con recursos propios.</w:t>
      </w:r>
    </w:p>
    <w:p w14:paraId="262D739E"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38B938F5" w14:textId="77777777" w:rsidR="00F74A9B" w:rsidRPr="00F74A9B" w:rsidRDefault="00F74A9B" w:rsidP="00F74A9B">
      <w:pPr>
        <w:autoSpaceDE w:val="0"/>
        <w:autoSpaceDN w:val="0"/>
        <w:adjustRightInd w:val="0"/>
        <w:jc w:val="center"/>
        <w:outlineLvl w:val="0"/>
        <w:rPr>
          <w:rFonts w:eastAsia="Calibri" w:cs="Times New Roman"/>
          <w:b/>
          <w:bCs/>
          <w:i/>
          <w:szCs w:val="22"/>
          <w:lang w:val="es-MX" w:eastAsia="en-US"/>
        </w:rPr>
      </w:pPr>
      <w:r w:rsidRPr="00F74A9B">
        <w:rPr>
          <w:rFonts w:ascii="Calibri" w:eastAsia="Calibri" w:hAnsi="Calibri" w:cs="Times New Roman"/>
          <w:iCs w:val="0"/>
          <w:sz w:val="22"/>
          <w:szCs w:val="22"/>
          <w:lang w:val="es-MX" w:eastAsia="en-US"/>
        </w:rPr>
        <w:drawing>
          <wp:inline distT="0" distB="0" distL="0" distR="0" wp14:anchorId="209C0A02" wp14:editId="1EBEA1CE">
            <wp:extent cx="4320000" cy="997266"/>
            <wp:effectExtent l="0" t="0" r="444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997266"/>
                    </a:xfrm>
                    <a:prstGeom prst="rect">
                      <a:avLst/>
                    </a:prstGeom>
                    <a:noFill/>
                    <a:ln>
                      <a:noFill/>
                    </a:ln>
                  </pic:spPr>
                </pic:pic>
              </a:graphicData>
            </a:graphic>
          </wp:inline>
        </w:drawing>
      </w:r>
    </w:p>
    <w:p w14:paraId="34CAF090" w14:textId="77777777" w:rsidR="00F74A9B" w:rsidRPr="00F74A9B" w:rsidRDefault="00F74A9B" w:rsidP="00F74A9B">
      <w:pPr>
        <w:autoSpaceDE w:val="0"/>
        <w:autoSpaceDN w:val="0"/>
        <w:adjustRightInd w:val="0"/>
        <w:jc w:val="both"/>
        <w:outlineLvl w:val="0"/>
        <w:rPr>
          <w:rFonts w:eastAsia="Calibri" w:cs="Times New Roman"/>
          <w:b/>
          <w:bCs/>
          <w:i/>
          <w:szCs w:val="22"/>
          <w:lang w:val="es-MX" w:eastAsia="en-US"/>
        </w:rPr>
      </w:pPr>
    </w:p>
    <w:p w14:paraId="687B8AD1" w14:textId="77777777" w:rsidR="00F74A9B" w:rsidRPr="00F74A9B" w:rsidRDefault="00F74A9B" w:rsidP="00F74A9B">
      <w:pPr>
        <w:autoSpaceDE w:val="0"/>
        <w:autoSpaceDN w:val="0"/>
        <w:adjustRightInd w:val="0"/>
        <w:jc w:val="both"/>
        <w:rPr>
          <w:rFonts w:eastAsia="Calibri"/>
          <w:b/>
          <w:bCs/>
          <w:iCs w:val="0"/>
          <w:u w:val="single"/>
          <w:lang w:val="es-MX" w:eastAsia="en-US"/>
        </w:rPr>
      </w:pPr>
      <w:bookmarkStart w:id="3" w:name="_Hlk125467269"/>
    </w:p>
    <w:p w14:paraId="66897134" w14:textId="77777777" w:rsidR="00F74A9B" w:rsidRPr="00F74A9B" w:rsidRDefault="00F74A9B" w:rsidP="00F74A9B">
      <w:pPr>
        <w:jc w:val="both"/>
        <w:rPr>
          <w:rFonts w:eastAsia="Calibri"/>
          <w:b/>
          <w:bCs/>
          <w:iCs w:val="0"/>
        </w:rPr>
      </w:pPr>
      <w:r w:rsidRPr="00F74A9B">
        <w:rPr>
          <w:rFonts w:eastAsia="Calibri"/>
          <w:b/>
          <w:bCs/>
          <w:iCs w:val="0"/>
        </w:rPr>
        <w:t>Pasivo</w:t>
      </w:r>
    </w:p>
    <w:p w14:paraId="41C8CCB4" w14:textId="77777777" w:rsidR="00F74A9B" w:rsidRPr="00F74A9B" w:rsidRDefault="00F74A9B" w:rsidP="00F74A9B">
      <w:pPr>
        <w:autoSpaceDE w:val="0"/>
        <w:autoSpaceDN w:val="0"/>
        <w:adjustRightInd w:val="0"/>
        <w:jc w:val="both"/>
        <w:rPr>
          <w:rFonts w:eastAsia="Calibri"/>
          <w:b/>
          <w:bCs/>
          <w:iCs w:val="0"/>
          <w:lang w:val="es-MX" w:eastAsia="en-US"/>
        </w:rPr>
      </w:pPr>
    </w:p>
    <w:bookmarkEnd w:id="3"/>
    <w:p w14:paraId="4F61F60C"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Al 30 de junio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7C291055"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73052C01" w14:textId="77777777" w:rsidR="00406EF6" w:rsidRDefault="00406EF6">
      <w:pPr>
        <w:rPr>
          <w:rFonts w:eastAsia="Calibri"/>
          <w:b/>
          <w:bCs/>
          <w:iCs w:val="0"/>
        </w:rPr>
      </w:pPr>
      <w:r>
        <w:rPr>
          <w:rFonts w:eastAsia="Calibri"/>
          <w:b/>
          <w:bCs/>
          <w:iCs w:val="0"/>
        </w:rPr>
        <w:br w:type="page"/>
      </w:r>
    </w:p>
    <w:p w14:paraId="4E64953F" w14:textId="12521BE7" w:rsidR="00F74A9B" w:rsidRPr="00F74A9B" w:rsidRDefault="00F74A9B" w:rsidP="00F74A9B">
      <w:pPr>
        <w:jc w:val="both"/>
        <w:rPr>
          <w:rFonts w:eastAsia="Calibri"/>
          <w:b/>
          <w:bCs/>
          <w:iCs w:val="0"/>
        </w:rPr>
      </w:pPr>
      <w:r w:rsidRPr="00F74A9B">
        <w:rPr>
          <w:rFonts w:eastAsia="Calibri"/>
          <w:b/>
          <w:bCs/>
          <w:iCs w:val="0"/>
        </w:rPr>
        <w:lastRenderedPageBreak/>
        <w:t>Circulante</w:t>
      </w:r>
    </w:p>
    <w:p w14:paraId="03BE8235" w14:textId="77777777" w:rsidR="00F74A9B" w:rsidRPr="00F74A9B" w:rsidRDefault="00F74A9B" w:rsidP="00F74A9B">
      <w:pPr>
        <w:autoSpaceDE w:val="0"/>
        <w:autoSpaceDN w:val="0"/>
        <w:adjustRightInd w:val="0"/>
        <w:jc w:val="both"/>
        <w:rPr>
          <w:rFonts w:eastAsia="Calibri" w:cs="Times New Roman"/>
          <w:b/>
          <w:bCs/>
          <w:iCs w:val="0"/>
          <w:szCs w:val="22"/>
          <w:lang w:val="es-MX" w:eastAsia="en-US"/>
        </w:rPr>
      </w:pPr>
    </w:p>
    <w:p w14:paraId="3E95E972" w14:textId="77777777" w:rsidR="00F74A9B" w:rsidRPr="00F74A9B" w:rsidRDefault="00F74A9B" w:rsidP="00F74A9B">
      <w:pPr>
        <w:autoSpaceDE w:val="0"/>
        <w:autoSpaceDN w:val="0"/>
        <w:adjustRightInd w:val="0"/>
        <w:jc w:val="center"/>
        <w:rPr>
          <w:rFonts w:eastAsia="Calibri" w:cs="Times New Roman"/>
          <w:b/>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210C928E" wp14:editId="7A5F1E4F">
            <wp:extent cx="3075305" cy="3058795"/>
            <wp:effectExtent l="0" t="0" r="0" b="825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5305" cy="3058795"/>
                    </a:xfrm>
                    <a:prstGeom prst="rect">
                      <a:avLst/>
                    </a:prstGeom>
                    <a:noFill/>
                    <a:ln>
                      <a:noFill/>
                    </a:ln>
                  </pic:spPr>
                </pic:pic>
              </a:graphicData>
            </a:graphic>
          </wp:inline>
        </w:drawing>
      </w:r>
    </w:p>
    <w:p w14:paraId="18298B1D" w14:textId="77777777" w:rsidR="00F74A9B" w:rsidRPr="00F74A9B" w:rsidRDefault="00F74A9B" w:rsidP="00F74A9B">
      <w:pPr>
        <w:autoSpaceDE w:val="0"/>
        <w:autoSpaceDN w:val="0"/>
        <w:adjustRightInd w:val="0"/>
        <w:jc w:val="both"/>
        <w:rPr>
          <w:rFonts w:eastAsia="Calibri" w:cs="Times New Roman"/>
          <w:b/>
          <w:bCs/>
          <w:iCs w:val="0"/>
          <w:szCs w:val="22"/>
          <w:lang w:val="es-MX" w:eastAsia="en-US"/>
        </w:rPr>
      </w:pPr>
    </w:p>
    <w:p w14:paraId="0CCAA311" w14:textId="77777777" w:rsidR="00F74A9B" w:rsidRPr="00F74A9B" w:rsidRDefault="00F74A9B" w:rsidP="00F74A9B">
      <w:pPr>
        <w:autoSpaceDE w:val="0"/>
        <w:autoSpaceDN w:val="0"/>
        <w:adjustRightInd w:val="0"/>
        <w:jc w:val="both"/>
        <w:rPr>
          <w:rFonts w:eastAsia="Calibri" w:cs="Times New Roman"/>
          <w:b/>
          <w:bCs/>
          <w:iCs w:val="0"/>
          <w:szCs w:val="22"/>
          <w:lang w:val="es-MX" w:eastAsia="en-US"/>
        </w:rPr>
      </w:pPr>
    </w:p>
    <w:p w14:paraId="54DE7A3F"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Cuentas por pagar a corto plazo</w:t>
      </w:r>
    </w:p>
    <w:p w14:paraId="7604B021"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2CE5DBC0"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bCs/>
          <w:iCs w:val="0"/>
          <w:szCs w:val="22"/>
          <w:lang w:val="es-MX" w:eastAsia="en-US"/>
        </w:rPr>
        <w:t xml:space="preserve">Las cuentas por pagar a corto plazo del periodo 1 de enero al 30 de junio de 2023 ascienden a 142.7 millones de pesos, </w:t>
      </w:r>
      <w:r w:rsidRPr="00F74A9B">
        <w:rPr>
          <w:rFonts w:eastAsia="Calibri" w:cs="Times New Roman"/>
          <w:iCs w:val="0"/>
          <w:szCs w:val="22"/>
          <w:lang w:val="es-MX" w:eastAsia="en-US"/>
        </w:rPr>
        <w:t>y representa el 29.4% del pasivo circulante, integrándose por los compromisos pendientes de pago de prestaciones salariales devengadas, del periodo que se informa y de años anteriores, así como a proveedores y prestadores de servicios; por la adquisición de productos farmacéuticos e insumos médicos, importe que está en proceso de depuración para su pago.</w:t>
      </w:r>
    </w:p>
    <w:p w14:paraId="092C0EAC" w14:textId="77777777" w:rsidR="00F74A9B" w:rsidRPr="00F74A9B" w:rsidRDefault="00F74A9B" w:rsidP="00F74A9B">
      <w:pPr>
        <w:jc w:val="both"/>
        <w:rPr>
          <w:rFonts w:eastAsia="Calibri" w:cs="Times New Roman"/>
          <w:iCs w:val="0"/>
          <w:szCs w:val="22"/>
          <w:lang w:val="es-MX" w:eastAsia="en-US"/>
        </w:rPr>
      </w:pPr>
    </w:p>
    <w:p w14:paraId="7A3B9F9E"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Así como, por contribuciones federales de retenciones sobre honorarios, arrendamiento, impuesto sobre sueldos y salarios e indemnización, y retenciones del 1.25% del Régimen Simplificado de Confianza (RESICO) y contribuciones estatales del 2% sobre nóminas, 6% adicional para el desarrollo económico y social de la entidad y 2% de retención de obras y servicios, del mes de marzo de 2023, mismos que se pagarán a Hacienda Federal y Estatal en los próximos trimestres.</w:t>
      </w:r>
    </w:p>
    <w:p w14:paraId="5C676702"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 xml:space="preserve"> </w:t>
      </w:r>
    </w:p>
    <w:p w14:paraId="05E7A640"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t>También, se incluyen los compromisos pendientes de pago a cargo del Instituto, tales como, pensión alimenticia, diversas cuotas sindicales, adeudos a empresas crediticias, entre otros, mismos que se encuentran en proceso de integración contable para su depuración correspondiente.</w:t>
      </w:r>
    </w:p>
    <w:p w14:paraId="22E195A8" w14:textId="77777777" w:rsidR="00F74A9B" w:rsidRPr="00F74A9B" w:rsidRDefault="00F74A9B" w:rsidP="00F74A9B">
      <w:pPr>
        <w:jc w:val="both"/>
        <w:rPr>
          <w:rFonts w:eastAsia="Calibri" w:cs="Times New Roman"/>
          <w:iCs w:val="0"/>
          <w:szCs w:val="22"/>
          <w:lang w:val="es-MX" w:eastAsia="en-US"/>
        </w:rPr>
      </w:pPr>
    </w:p>
    <w:p w14:paraId="43370E8B" w14:textId="77777777" w:rsidR="00F74A9B" w:rsidRPr="00F74A9B" w:rsidRDefault="00F74A9B" w:rsidP="00F74A9B">
      <w:pPr>
        <w:jc w:val="center"/>
        <w:rPr>
          <w:rFonts w:eastAsia="Calibri" w:cs="Times New Roman"/>
          <w:iCs w:val="0"/>
          <w:noProof/>
          <w:szCs w:val="22"/>
          <w:lang w:val="es-MX" w:eastAsia="es-MX"/>
        </w:rPr>
      </w:pPr>
      <w:r w:rsidRPr="00F74A9B">
        <w:rPr>
          <w:rFonts w:ascii="Calibri" w:eastAsia="Calibri" w:hAnsi="Calibri" w:cs="Times New Roman"/>
          <w:iCs w:val="0"/>
          <w:sz w:val="22"/>
          <w:szCs w:val="22"/>
          <w:lang w:val="es-MX" w:eastAsia="en-US"/>
        </w:rPr>
        <w:drawing>
          <wp:inline distT="0" distB="0" distL="0" distR="0" wp14:anchorId="2E1ABCE7" wp14:editId="050C34E0">
            <wp:extent cx="4320000" cy="2146174"/>
            <wp:effectExtent l="0" t="0" r="4445" b="698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2146174"/>
                    </a:xfrm>
                    <a:prstGeom prst="rect">
                      <a:avLst/>
                    </a:prstGeom>
                    <a:noFill/>
                    <a:ln>
                      <a:noFill/>
                    </a:ln>
                  </pic:spPr>
                </pic:pic>
              </a:graphicData>
            </a:graphic>
          </wp:inline>
        </w:drawing>
      </w:r>
    </w:p>
    <w:p w14:paraId="3235D366" w14:textId="77777777" w:rsidR="00F74A9B" w:rsidRPr="00F74A9B" w:rsidRDefault="00F74A9B" w:rsidP="00F74A9B">
      <w:pPr>
        <w:jc w:val="both"/>
        <w:outlineLvl w:val="0"/>
        <w:rPr>
          <w:rFonts w:eastAsia="Calibri" w:cs="Times New Roman"/>
          <w:iCs w:val="0"/>
          <w:szCs w:val="22"/>
          <w:lang w:val="es-MX" w:eastAsia="en-US"/>
        </w:rPr>
      </w:pPr>
    </w:p>
    <w:p w14:paraId="55FBAEEB" w14:textId="77777777" w:rsidR="00F74A9B" w:rsidRPr="00F74A9B" w:rsidRDefault="00F74A9B" w:rsidP="00F74A9B">
      <w:pPr>
        <w:jc w:val="both"/>
        <w:outlineLvl w:val="0"/>
        <w:rPr>
          <w:rFonts w:eastAsia="Calibri" w:cs="Times New Roman"/>
          <w:iCs w:val="0"/>
          <w:szCs w:val="22"/>
          <w:lang w:val="es-MX" w:eastAsia="en-US"/>
        </w:rPr>
      </w:pPr>
    </w:p>
    <w:p w14:paraId="3372566C"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Fondos y bienes de terceros en garantía y/o administración a corto plazo</w:t>
      </w:r>
    </w:p>
    <w:p w14:paraId="446A3A09"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3A414C14" w14:textId="77777777" w:rsidR="00F74A9B" w:rsidRPr="00F74A9B" w:rsidRDefault="00F74A9B" w:rsidP="00F74A9B">
      <w:pPr>
        <w:jc w:val="both"/>
        <w:rPr>
          <w:rFonts w:eastAsia="Calibri" w:cs="Times New Roman"/>
          <w:bCs/>
          <w:iCs w:val="0"/>
          <w:szCs w:val="22"/>
          <w:lang w:val="es-MX" w:eastAsia="en-US"/>
        </w:rPr>
      </w:pPr>
      <w:r w:rsidRPr="00F74A9B">
        <w:rPr>
          <w:rFonts w:eastAsia="Calibri" w:cs="Times New Roman"/>
          <w:bCs/>
          <w:iCs w:val="0"/>
          <w:szCs w:val="22"/>
          <w:lang w:val="es-MX" w:eastAsia="en-US"/>
        </w:rPr>
        <w:t>Este rubro al 30 de junio del 2023, asciende a 331.2 millones de pesos, representando el 68.2 % del total de pasivo circulante, mismo que se integra por rentas del centro deportivo y préstamos por pagar, así como recuperación de préstamos por aplicar, descuentos indebidos de préstamos, intereses cobrados del fondo de préstamos, 1 % de cuotas y aportaciones del fondo de préstamos y rendimientos bancarios del fondo de préstamos.</w:t>
      </w:r>
    </w:p>
    <w:p w14:paraId="761068D0" w14:textId="77777777" w:rsidR="00F74A9B" w:rsidRPr="00F74A9B" w:rsidRDefault="00F74A9B" w:rsidP="00F74A9B">
      <w:pPr>
        <w:jc w:val="both"/>
        <w:rPr>
          <w:rFonts w:eastAsia="Calibri" w:cs="Times New Roman"/>
          <w:bCs/>
          <w:iCs w:val="0"/>
          <w:szCs w:val="22"/>
          <w:lang w:val="es-MX" w:eastAsia="en-US"/>
        </w:rPr>
      </w:pPr>
    </w:p>
    <w:p w14:paraId="6E91F3B0" w14:textId="77777777" w:rsidR="00F74A9B" w:rsidRPr="00F74A9B" w:rsidRDefault="00F74A9B" w:rsidP="00F74A9B">
      <w:pPr>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9A5491E" wp14:editId="6E4F716B">
            <wp:extent cx="4320000" cy="1458435"/>
            <wp:effectExtent l="0" t="0" r="4445" b="889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000" cy="1458435"/>
                    </a:xfrm>
                    <a:prstGeom prst="rect">
                      <a:avLst/>
                    </a:prstGeom>
                    <a:noFill/>
                    <a:ln>
                      <a:noFill/>
                    </a:ln>
                  </pic:spPr>
                </pic:pic>
              </a:graphicData>
            </a:graphic>
          </wp:inline>
        </w:drawing>
      </w:r>
    </w:p>
    <w:p w14:paraId="703E9827" w14:textId="77777777" w:rsidR="00F74A9B" w:rsidRPr="00F74A9B" w:rsidRDefault="00F74A9B" w:rsidP="00F74A9B">
      <w:pPr>
        <w:jc w:val="both"/>
        <w:outlineLvl w:val="0"/>
        <w:rPr>
          <w:rFonts w:eastAsia="Calibri" w:cs="Times New Roman"/>
          <w:iCs w:val="0"/>
          <w:szCs w:val="22"/>
          <w:lang w:val="es-MX" w:eastAsia="en-US"/>
        </w:rPr>
      </w:pPr>
    </w:p>
    <w:p w14:paraId="2C5FFBB1" w14:textId="77777777" w:rsidR="00F74A9B" w:rsidRPr="00F74A9B" w:rsidRDefault="00F74A9B" w:rsidP="00F74A9B">
      <w:pPr>
        <w:jc w:val="both"/>
        <w:outlineLvl w:val="0"/>
        <w:rPr>
          <w:rFonts w:eastAsia="Calibri" w:cs="Times New Roman"/>
          <w:b/>
          <w:bCs/>
          <w:i/>
          <w:iCs w:val="0"/>
          <w:szCs w:val="22"/>
          <w:lang w:val="es-MX" w:eastAsia="en-US"/>
        </w:rPr>
      </w:pPr>
    </w:p>
    <w:p w14:paraId="794781F3"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Otros pasivos a corto plazo</w:t>
      </w:r>
    </w:p>
    <w:p w14:paraId="47514083"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1324B789" w14:textId="77777777" w:rsidR="00F74A9B" w:rsidRPr="00F74A9B" w:rsidRDefault="00F74A9B" w:rsidP="00F74A9B">
      <w:pPr>
        <w:jc w:val="both"/>
        <w:rPr>
          <w:rFonts w:eastAsia="Calibri" w:cs="Times New Roman"/>
          <w:bCs/>
          <w:iCs w:val="0"/>
          <w:szCs w:val="22"/>
          <w:lang w:val="es-MX" w:eastAsia="en-US"/>
        </w:rPr>
      </w:pPr>
      <w:r w:rsidRPr="00F74A9B">
        <w:rPr>
          <w:rFonts w:eastAsia="Calibri" w:cs="Times New Roman"/>
          <w:bCs/>
          <w:iCs w:val="0"/>
          <w:szCs w:val="22"/>
          <w:lang w:val="es-MX" w:eastAsia="en-US"/>
        </w:rPr>
        <w:t>Al 30 de junio del 2023, este rubro asciende a 11.4 millones de pesos, representando el 2.4 % del total de pasivo circulante, integrado por depósitos bancarios por aclarar del periodo que se informa.</w:t>
      </w:r>
    </w:p>
    <w:p w14:paraId="02A1C35D" w14:textId="77777777" w:rsidR="00F74A9B" w:rsidRPr="00F74A9B" w:rsidRDefault="00F74A9B" w:rsidP="00F74A9B">
      <w:pPr>
        <w:jc w:val="both"/>
        <w:rPr>
          <w:rFonts w:eastAsia="Calibri" w:cs="Times New Roman"/>
          <w:bCs/>
          <w:iCs w:val="0"/>
          <w:szCs w:val="22"/>
          <w:lang w:val="es-MX" w:eastAsia="en-US"/>
        </w:rPr>
      </w:pPr>
    </w:p>
    <w:p w14:paraId="12D069EE" w14:textId="77777777" w:rsidR="00F74A9B" w:rsidRPr="00F74A9B" w:rsidRDefault="00F74A9B" w:rsidP="00F74A9B">
      <w:pPr>
        <w:jc w:val="center"/>
        <w:rPr>
          <w:rFonts w:eastAsia="Calibri" w:cs="Times New Roman"/>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41D5C87E" wp14:editId="111698AF">
            <wp:extent cx="4320000" cy="997266"/>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000" cy="997266"/>
                    </a:xfrm>
                    <a:prstGeom prst="rect">
                      <a:avLst/>
                    </a:prstGeom>
                    <a:noFill/>
                    <a:ln>
                      <a:noFill/>
                    </a:ln>
                  </pic:spPr>
                </pic:pic>
              </a:graphicData>
            </a:graphic>
          </wp:inline>
        </w:drawing>
      </w:r>
    </w:p>
    <w:p w14:paraId="607C8A35" w14:textId="77777777" w:rsidR="00F74A9B" w:rsidRPr="00F74A9B" w:rsidRDefault="00F74A9B" w:rsidP="00F74A9B">
      <w:pPr>
        <w:autoSpaceDE w:val="0"/>
        <w:autoSpaceDN w:val="0"/>
        <w:adjustRightInd w:val="0"/>
        <w:jc w:val="both"/>
        <w:rPr>
          <w:rFonts w:eastAsia="Calibri"/>
          <w:b/>
          <w:bCs/>
          <w:iCs w:val="0"/>
          <w:lang w:val="es-MX" w:eastAsia="en-US"/>
        </w:rPr>
      </w:pPr>
    </w:p>
    <w:p w14:paraId="24CEED52" w14:textId="77777777" w:rsidR="00F74A9B" w:rsidRPr="00F74A9B" w:rsidRDefault="00F74A9B" w:rsidP="00F74A9B">
      <w:pPr>
        <w:jc w:val="both"/>
        <w:rPr>
          <w:rFonts w:eastAsia="Calibri"/>
          <w:iCs w:val="0"/>
          <w:lang w:val="es-MX" w:eastAsia="en-US"/>
        </w:rPr>
      </w:pPr>
    </w:p>
    <w:p w14:paraId="31732301" w14:textId="77777777" w:rsidR="00F74A9B" w:rsidRPr="00F74A9B" w:rsidRDefault="00F74A9B" w:rsidP="00F74A9B">
      <w:pPr>
        <w:jc w:val="both"/>
        <w:rPr>
          <w:rFonts w:eastAsia="Calibri"/>
          <w:b/>
          <w:bCs/>
          <w:iCs w:val="0"/>
        </w:rPr>
      </w:pPr>
      <w:r w:rsidRPr="00F74A9B">
        <w:rPr>
          <w:rFonts w:eastAsia="Calibri"/>
          <w:b/>
          <w:bCs/>
          <w:iCs w:val="0"/>
        </w:rPr>
        <w:t>No circulante</w:t>
      </w:r>
    </w:p>
    <w:p w14:paraId="2912AA64" w14:textId="77777777" w:rsidR="00F74A9B" w:rsidRPr="00F74A9B" w:rsidRDefault="00F74A9B" w:rsidP="00F74A9B">
      <w:pPr>
        <w:autoSpaceDE w:val="0"/>
        <w:autoSpaceDN w:val="0"/>
        <w:adjustRightInd w:val="0"/>
        <w:jc w:val="both"/>
        <w:rPr>
          <w:rFonts w:eastAsia="Calibri"/>
          <w:b/>
          <w:bCs/>
          <w:iCs w:val="0"/>
          <w:lang w:val="es-MX" w:eastAsia="en-US"/>
        </w:rPr>
      </w:pPr>
    </w:p>
    <w:p w14:paraId="4C1F8DAD" w14:textId="77777777" w:rsidR="00F74A9B" w:rsidRPr="00F74A9B" w:rsidRDefault="00F74A9B" w:rsidP="00F74A9B">
      <w:pPr>
        <w:autoSpaceDE w:val="0"/>
        <w:autoSpaceDN w:val="0"/>
        <w:adjustRightInd w:val="0"/>
        <w:jc w:val="center"/>
        <w:rPr>
          <w:rFonts w:eastAsia="Calibri"/>
          <w:b/>
          <w:bCs/>
          <w:iCs w:val="0"/>
          <w:lang w:val="es-MX" w:eastAsia="en-US"/>
        </w:rPr>
      </w:pPr>
      <w:r w:rsidRPr="00F74A9B">
        <w:rPr>
          <w:rFonts w:ascii="Calibri" w:eastAsia="Calibri" w:hAnsi="Calibri" w:cs="Times New Roman"/>
          <w:iCs w:val="0"/>
          <w:sz w:val="22"/>
          <w:szCs w:val="22"/>
          <w:lang w:val="es-MX" w:eastAsia="en-US"/>
        </w:rPr>
        <w:drawing>
          <wp:inline distT="0" distB="0" distL="0" distR="0" wp14:anchorId="66546DB5" wp14:editId="5001B582">
            <wp:extent cx="3075305" cy="254190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5305" cy="2541905"/>
                    </a:xfrm>
                    <a:prstGeom prst="rect">
                      <a:avLst/>
                    </a:prstGeom>
                    <a:noFill/>
                    <a:ln>
                      <a:noFill/>
                    </a:ln>
                  </pic:spPr>
                </pic:pic>
              </a:graphicData>
            </a:graphic>
          </wp:inline>
        </w:drawing>
      </w:r>
    </w:p>
    <w:p w14:paraId="718B0D65"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7E8DDCF0"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3F1CE37E" w14:textId="77777777" w:rsidR="00406EF6" w:rsidRDefault="00406EF6">
      <w:pPr>
        <w:rPr>
          <w:rFonts w:eastAsia="Calibri" w:cs="Times New Roman"/>
          <w:b/>
          <w:bCs/>
          <w:i/>
          <w:iCs w:val="0"/>
          <w:szCs w:val="22"/>
          <w:u w:val="single"/>
          <w:lang w:val="es-MX" w:eastAsia="en-US"/>
        </w:rPr>
      </w:pPr>
      <w:r>
        <w:rPr>
          <w:rFonts w:eastAsia="Calibri" w:cs="Times New Roman"/>
          <w:b/>
          <w:bCs/>
          <w:i/>
          <w:iCs w:val="0"/>
          <w:szCs w:val="22"/>
          <w:u w:val="single"/>
          <w:lang w:val="es-MX" w:eastAsia="en-US"/>
        </w:rPr>
        <w:br w:type="page"/>
      </w:r>
    </w:p>
    <w:p w14:paraId="2361F021" w14:textId="2AEC1CE2"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lastRenderedPageBreak/>
        <w:t>Cuentas por pagar a largo plazo</w:t>
      </w:r>
    </w:p>
    <w:p w14:paraId="7F45EF16" w14:textId="77777777" w:rsidR="00F74A9B" w:rsidRPr="00F74A9B" w:rsidRDefault="00F74A9B" w:rsidP="00F74A9B">
      <w:pPr>
        <w:tabs>
          <w:tab w:val="left" w:pos="1418"/>
        </w:tabs>
        <w:autoSpaceDE w:val="0"/>
        <w:autoSpaceDN w:val="0"/>
        <w:adjustRightInd w:val="0"/>
        <w:jc w:val="both"/>
        <w:rPr>
          <w:rFonts w:eastAsia="Calibri" w:cs="Times New Roman"/>
          <w:b/>
          <w:i/>
          <w:iCs w:val="0"/>
          <w:color w:val="B09A5B"/>
          <w:szCs w:val="22"/>
          <w:lang w:val="es-MX" w:eastAsia="en-US"/>
        </w:rPr>
      </w:pPr>
    </w:p>
    <w:p w14:paraId="38F21BAC" w14:textId="77777777" w:rsidR="00F74A9B" w:rsidRPr="00F74A9B" w:rsidRDefault="00F74A9B" w:rsidP="00F74A9B">
      <w:pPr>
        <w:spacing w:line="100" w:lineRule="atLeast"/>
        <w:jc w:val="both"/>
        <w:rPr>
          <w:rFonts w:eastAsia="Calibri" w:cs="Times New Roman"/>
          <w:iCs w:val="0"/>
          <w:szCs w:val="22"/>
          <w:lang w:val="es-MX" w:eastAsia="en-US"/>
        </w:rPr>
      </w:pPr>
      <w:r w:rsidRPr="00F74A9B">
        <w:rPr>
          <w:rFonts w:eastAsia="Calibri" w:cs="Times New Roman"/>
          <w:iCs w:val="0"/>
          <w:szCs w:val="22"/>
          <w:lang w:val="es-MX" w:eastAsia="en-US"/>
        </w:rPr>
        <w:t>Este rubro se integra por los compromisos pendientes de pago a proveedores y prestadores de servicios, por la adquisición de productos farmacéuticos e insumos médicos y prestación de servicios, importe que está en proceso de depuración para su pago.</w:t>
      </w:r>
    </w:p>
    <w:p w14:paraId="3B1C78EA" w14:textId="77777777" w:rsidR="00F74A9B" w:rsidRPr="00F74A9B" w:rsidRDefault="00F74A9B" w:rsidP="00F74A9B">
      <w:pPr>
        <w:spacing w:line="100" w:lineRule="atLeast"/>
        <w:jc w:val="both"/>
        <w:rPr>
          <w:rFonts w:eastAsia="Calibri" w:cs="Times New Roman"/>
          <w:iCs w:val="0"/>
          <w:szCs w:val="22"/>
          <w:lang w:val="es-MX" w:eastAsia="en-US"/>
        </w:rPr>
      </w:pPr>
    </w:p>
    <w:p w14:paraId="4E578445"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Al 30 de junio de 2023, este rubro asciende a 614.9 </w:t>
      </w:r>
      <w:r w:rsidRPr="00F74A9B">
        <w:rPr>
          <w:rFonts w:eastAsia="Calibri" w:cs="Times New Roman"/>
          <w:bCs/>
          <w:iCs w:val="0"/>
          <w:szCs w:val="22"/>
          <w:lang w:val="es-MX" w:eastAsia="en-US"/>
        </w:rPr>
        <w:t>millones de pesos y representa el 50.8 % del pasivo no circulante.</w:t>
      </w:r>
    </w:p>
    <w:p w14:paraId="0E7A2E0D" w14:textId="77777777" w:rsidR="00F74A9B" w:rsidRPr="00F74A9B" w:rsidRDefault="00F74A9B" w:rsidP="00F74A9B">
      <w:pPr>
        <w:jc w:val="both"/>
        <w:outlineLvl w:val="0"/>
        <w:rPr>
          <w:rFonts w:eastAsia="Calibri" w:cs="Times New Roman"/>
          <w:iCs w:val="0"/>
          <w:szCs w:val="22"/>
          <w:lang w:val="es-MX" w:eastAsia="en-US"/>
        </w:rPr>
      </w:pPr>
    </w:p>
    <w:p w14:paraId="00455A2E" w14:textId="77777777" w:rsidR="00F74A9B" w:rsidRPr="00F74A9B" w:rsidRDefault="00F74A9B" w:rsidP="00F74A9B">
      <w:pPr>
        <w:jc w:val="center"/>
        <w:outlineLvl w:val="0"/>
        <w:rPr>
          <w:rFonts w:eastAsia="Calibri" w:cs="Times New Roman"/>
          <w:bCs/>
          <w:szCs w:val="22"/>
          <w:lang w:val="es-MX" w:eastAsia="en-US"/>
        </w:rPr>
      </w:pPr>
      <w:r w:rsidRPr="00F74A9B">
        <w:rPr>
          <w:rFonts w:ascii="Calibri" w:eastAsia="Calibri" w:hAnsi="Calibri" w:cs="Times New Roman"/>
          <w:iCs w:val="0"/>
          <w:sz w:val="22"/>
          <w:szCs w:val="22"/>
          <w:lang w:val="es-MX" w:eastAsia="en-US"/>
        </w:rPr>
        <w:drawing>
          <wp:inline distT="0" distB="0" distL="0" distR="0" wp14:anchorId="6C9D269F" wp14:editId="3BAB1617">
            <wp:extent cx="4320000" cy="997266"/>
            <wp:effectExtent l="0" t="0" r="444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997266"/>
                    </a:xfrm>
                    <a:prstGeom prst="rect">
                      <a:avLst/>
                    </a:prstGeom>
                    <a:noFill/>
                    <a:ln>
                      <a:noFill/>
                    </a:ln>
                  </pic:spPr>
                </pic:pic>
              </a:graphicData>
            </a:graphic>
          </wp:inline>
        </w:drawing>
      </w:r>
    </w:p>
    <w:p w14:paraId="7FA145B0"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68FB6CDE"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108C7983"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Pasivos diferidos a largo plazo</w:t>
      </w:r>
    </w:p>
    <w:p w14:paraId="781E498A"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3CF820C1"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Este rubro se integra en gran parte por conceptos como aguinaldo, sueldos, útiles escolares por pagar, descuentos indebidos de préstamos, descuentos efectuados a sindicatos, pensión alimenticia, becarios, quejas médicas, gastos funerales, seguro de vida mutualista, gastos de traslados a derechohabientes.</w:t>
      </w:r>
    </w:p>
    <w:p w14:paraId="160D5C11" w14:textId="77777777" w:rsidR="00F74A9B" w:rsidRPr="00F74A9B" w:rsidRDefault="00F74A9B" w:rsidP="00F74A9B">
      <w:pPr>
        <w:jc w:val="both"/>
        <w:outlineLvl w:val="0"/>
        <w:rPr>
          <w:rFonts w:eastAsia="Calibri" w:cs="Times New Roman"/>
          <w:iCs w:val="0"/>
          <w:szCs w:val="22"/>
          <w:lang w:val="es-MX" w:eastAsia="en-US"/>
        </w:rPr>
      </w:pPr>
    </w:p>
    <w:p w14:paraId="1991A463"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iCs w:val="0"/>
          <w:szCs w:val="22"/>
          <w:lang w:val="es-MX" w:eastAsia="en-US"/>
        </w:rPr>
        <w:t xml:space="preserve">Al 30 de junio de 2023, este rubro asciende a 422.9 </w:t>
      </w:r>
      <w:r w:rsidRPr="00F74A9B">
        <w:rPr>
          <w:rFonts w:eastAsia="Calibri" w:cs="Times New Roman"/>
          <w:bCs/>
          <w:iCs w:val="0"/>
          <w:szCs w:val="22"/>
          <w:lang w:val="es-MX" w:eastAsia="en-US"/>
        </w:rPr>
        <w:t>millones de pesos y representa el 35 % del pasivo no circulante.</w:t>
      </w:r>
    </w:p>
    <w:p w14:paraId="035C23E3" w14:textId="77777777" w:rsidR="00F74A9B" w:rsidRPr="00F74A9B" w:rsidRDefault="00F74A9B" w:rsidP="00F74A9B">
      <w:pPr>
        <w:jc w:val="both"/>
        <w:outlineLvl w:val="0"/>
        <w:rPr>
          <w:rFonts w:eastAsia="Calibri" w:cs="Times New Roman"/>
          <w:iCs w:val="0"/>
          <w:szCs w:val="22"/>
          <w:lang w:val="es-MX" w:eastAsia="en-US"/>
        </w:rPr>
      </w:pPr>
    </w:p>
    <w:p w14:paraId="00D97E9B" w14:textId="77777777" w:rsidR="00F74A9B" w:rsidRPr="00F74A9B" w:rsidRDefault="00F74A9B" w:rsidP="00F74A9B">
      <w:pPr>
        <w:jc w:val="center"/>
        <w:outlineLvl w:val="0"/>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14EDD723" wp14:editId="649199DA">
            <wp:extent cx="4320000" cy="997266"/>
            <wp:effectExtent l="0" t="0" r="444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20000" cy="997266"/>
                    </a:xfrm>
                    <a:prstGeom prst="rect">
                      <a:avLst/>
                    </a:prstGeom>
                    <a:noFill/>
                    <a:ln>
                      <a:noFill/>
                    </a:ln>
                  </pic:spPr>
                </pic:pic>
              </a:graphicData>
            </a:graphic>
          </wp:inline>
        </w:drawing>
      </w:r>
    </w:p>
    <w:p w14:paraId="32DAAA32" w14:textId="77777777" w:rsidR="00F74A9B" w:rsidRPr="00F74A9B" w:rsidRDefault="00F74A9B" w:rsidP="00F74A9B">
      <w:pPr>
        <w:jc w:val="both"/>
        <w:rPr>
          <w:rFonts w:eastAsia="Calibri" w:cs="Times New Roman"/>
          <w:b/>
          <w:bCs/>
          <w:iCs w:val="0"/>
          <w:caps/>
          <w:color w:val="B09A5B"/>
          <w:szCs w:val="22"/>
          <w:lang w:val="es-MX" w:eastAsia="en-US"/>
        </w:rPr>
      </w:pPr>
    </w:p>
    <w:p w14:paraId="09C00840" w14:textId="77777777" w:rsidR="00F74A9B" w:rsidRPr="00F74A9B" w:rsidRDefault="00F74A9B" w:rsidP="00F74A9B">
      <w:pPr>
        <w:jc w:val="both"/>
        <w:rPr>
          <w:rFonts w:eastAsia="Calibri" w:cs="Times New Roman"/>
          <w:b/>
          <w:bCs/>
          <w:iCs w:val="0"/>
          <w:caps/>
          <w:color w:val="B09A5B"/>
          <w:szCs w:val="22"/>
          <w:lang w:val="es-MX" w:eastAsia="en-US"/>
        </w:rPr>
      </w:pPr>
    </w:p>
    <w:p w14:paraId="27093430" w14:textId="77777777" w:rsidR="00F74A9B" w:rsidRPr="00F74A9B" w:rsidRDefault="00F74A9B" w:rsidP="00F74A9B">
      <w:pPr>
        <w:jc w:val="both"/>
        <w:outlineLvl w:val="0"/>
        <w:rPr>
          <w:rFonts w:eastAsia="Calibri" w:cs="Times New Roman"/>
          <w:b/>
          <w:bCs/>
          <w:i/>
          <w:iCs w:val="0"/>
          <w:szCs w:val="22"/>
          <w:u w:val="single"/>
          <w:lang w:val="es-MX" w:eastAsia="en-US"/>
        </w:rPr>
      </w:pPr>
      <w:r w:rsidRPr="00F74A9B">
        <w:rPr>
          <w:rFonts w:eastAsia="Calibri" w:cs="Times New Roman"/>
          <w:b/>
          <w:bCs/>
          <w:i/>
          <w:iCs w:val="0"/>
          <w:szCs w:val="22"/>
          <w:u w:val="single"/>
          <w:lang w:val="es-MX" w:eastAsia="en-US"/>
        </w:rPr>
        <w:t>Fondos y bienes de terceros en garantía y/o administración a largo plazo</w:t>
      </w:r>
    </w:p>
    <w:p w14:paraId="2723E8B9" w14:textId="77777777" w:rsidR="00F74A9B" w:rsidRPr="00F74A9B" w:rsidRDefault="00F74A9B" w:rsidP="00F74A9B">
      <w:pPr>
        <w:tabs>
          <w:tab w:val="left" w:pos="1418"/>
        </w:tabs>
        <w:autoSpaceDE w:val="0"/>
        <w:autoSpaceDN w:val="0"/>
        <w:adjustRightInd w:val="0"/>
        <w:jc w:val="both"/>
        <w:rPr>
          <w:rFonts w:eastAsia="Calibri" w:cs="Times New Roman"/>
          <w:b/>
          <w:i/>
          <w:iCs w:val="0"/>
          <w:szCs w:val="22"/>
          <w:lang w:val="es-MX" w:eastAsia="en-US"/>
        </w:rPr>
      </w:pPr>
    </w:p>
    <w:p w14:paraId="27A3C3C8"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Este rubro al 30 de junio de 2023, asciende a 172.3 millones de pesos </w:t>
      </w:r>
      <w:r w:rsidRPr="00F74A9B">
        <w:rPr>
          <w:rFonts w:eastAsia="Calibri" w:cs="Times New Roman"/>
          <w:bCs/>
          <w:iCs w:val="0"/>
          <w:szCs w:val="22"/>
          <w:lang w:val="es-MX" w:eastAsia="en-US"/>
        </w:rPr>
        <w:t xml:space="preserve">y representa el 14.2 % del pasivo no circulante, mismo que </w:t>
      </w:r>
      <w:r w:rsidRPr="00F74A9B">
        <w:rPr>
          <w:rFonts w:eastAsia="Calibri" w:cs="Times New Roman"/>
          <w:iCs w:val="0"/>
          <w:szCs w:val="22"/>
          <w:lang w:val="es-MX" w:eastAsia="en-US"/>
        </w:rPr>
        <w:t xml:space="preserve">se integra en gran parte </w:t>
      </w:r>
      <w:proofErr w:type="gramStart"/>
      <w:r w:rsidRPr="00F74A9B">
        <w:rPr>
          <w:rFonts w:eastAsia="Calibri" w:cs="Times New Roman"/>
          <w:iCs w:val="0"/>
          <w:szCs w:val="22"/>
          <w:lang w:val="es-MX" w:eastAsia="en-US"/>
        </w:rPr>
        <w:t>por  préstamos</w:t>
      </w:r>
      <w:proofErr w:type="gramEnd"/>
      <w:r w:rsidRPr="00F74A9B">
        <w:rPr>
          <w:rFonts w:eastAsia="Calibri" w:cs="Times New Roman"/>
          <w:iCs w:val="0"/>
          <w:szCs w:val="22"/>
          <w:lang w:val="es-MX" w:eastAsia="en-US"/>
        </w:rPr>
        <w:t xml:space="preserve"> por pagar, recuperación de préstamos por aplicar, descuentos indebidos derivado de préstamos, intereses cobrados del fondo de préstamos, 1 % de cuotas y aportaciones del fondo de préstamos, así como, rendimientos de cuentas bancarias del fondo en mención.</w:t>
      </w:r>
    </w:p>
    <w:p w14:paraId="509AA530" w14:textId="77777777" w:rsidR="00F74A9B" w:rsidRPr="00F74A9B" w:rsidRDefault="00F74A9B" w:rsidP="00F74A9B">
      <w:pPr>
        <w:jc w:val="both"/>
        <w:outlineLvl w:val="0"/>
        <w:rPr>
          <w:rFonts w:eastAsia="Calibri" w:cs="Times New Roman"/>
          <w:iCs w:val="0"/>
          <w:szCs w:val="22"/>
          <w:lang w:val="es-MX" w:eastAsia="en-US"/>
        </w:rPr>
      </w:pPr>
    </w:p>
    <w:p w14:paraId="57BFF63E" w14:textId="77777777" w:rsidR="00F74A9B" w:rsidRPr="00F74A9B" w:rsidRDefault="00F74A9B" w:rsidP="00F74A9B">
      <w:pPr>
        <w:jc w:val="center"/>
        <w:outlineLvl w:val="0"/>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0A348005" wp14:editId="26CB5864">
            <wp:extent cx="4320000" cy="1261301"/>
            <wp:effectExtent l="0" t="0" r="444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0000" cy="1261301"/>
                    </a:xfrm>
                    <a:prstGeom prst="rect">
                      <a:avLst/>
                    </a:prstGeom>
                    <a:noFill/>
                    <a:ln>
                      <a:noFill/>
                    </a:ln>
                  </pic:spPr>
                </pic:pic>
              </a:graphicData>
            </a:graphic>
          </wp:inline>
        </w:drawing>
      </w:r>
    </w:p>
    <w:p w14:paraId="7A569BE9" w14:textId="77777777" w:rsidR="00F74A9B" w:rsidRPr="00F74A9B" w:rsidRDefault="00F74A9B" w:rsidP="00F74A9B">
      <w:pPr>
        <w:jc w:val="both"/>
        <w:outlineLvl w:val="0"/>
        <w:rPr>
          <w:rFonts w:eastAsia="Calibri" w:cs="Times New Roman"/>
          <w:iCs w:val="0"/>
          <w:szCs w:val="22"/>
          <w:lang w:val="es-MX" w:eastAsia="en-US"/>
        </w:rPr>
      </w:pPr>
    </w:p>
    <w:p w14:paraId="67A82F5B" w14:textId="77777777" w:rsidR="00F74A9B" w:rsidRPr="00F74A9B" w:rsidRDefault="00F74A9B" w:rsidP="00F74A9B">
      <w:pPr>
        <w:jc w:val="both"/>
        <w:outlineLvl w:val="0"/>
        <w:rPr>
          <w:rFonts w:eastAsia="Calibri" w:cs="Times New Roman"/>
          <w:iCs w:val="0"/>
          <w:szCs w:val="22"/>
          <w:lang w:val="es-MX" w:eastAsia="en-US"/>
        </w:rPr>
      </w:pPr>
    </w:p>
    <w:p w14:paraId="3A2D9DAF" w14:textId="77777777" w:rsidR="00F74A9B" w:rsidRPr="00F74A9B" w:rsidRDefault="00F74A9B" w:rsidP="00F74A9B">
      <w:pPr>
        <w:jc w:val="both"/>
        <w:rPr>
          <w:rFonts w:eastAsia="Calibri"/>
          <w:b/>
          <w:bCs/>
          <w:iCs w:val="0"/>
          <w:caps/>
        </w:rPr>
      </w:pPr>
      <w:r w:rsidRPr="00F74A9B">
        <w:rPr>
          <w:rFonts w:eastAsia="Calibri"/>
          <w:b/>
          <w:bCs/>
          <w:iCs w:val="0"/>
        </w:rPr>
        <w:t xml:space="preserve">Notas al estado de variación en la hacienda pública </w:t>
      </w:r>
    </w:p>
    <w:p w14:paraId="0307246F" w14:textId="77777777" w:rsidR="00F74A9B" w:rsidRPr="00F74A9B" w:rsidRDefault="00F74A9B" w:rsidP="00F74A9B">
      <w:pPr>
        <w:jc w:val="both"/>
        <w:outlineLvl w:val="0"/>
        <w:rPr>
          <w:rFonts w:eastAsia="Calibri" w:cs="Times New Roman"/>
          <w:iCs w:val="0"/>
          <w:szCs w:val="22"/>
          <w:lang w:val="es-MX" w:eastAsia="en-US"/>
        </w:rPr>
      </w:pPr>
    </w:p>
    <w:p w14:paraId="440D7258"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La hacienda pública representa el importe de los bienes y derechos que son propiedad del Instituto de Seguridad Social de Los Trabajadores del Estado de Chiapas, dicho importe es modificado principalmente por el resultado positivo obtenido al 30 de junio del 2023, el cual asciende a un saldo positivo de 413.0 millones de pesos.</w:t>
      </w:r>
    </w:p>
    <w:p w14:paraId="52E86067" w14:textId="77777777" w:rsidR="00F74A9B" w:rsidRPr="00F74A9B" w:rsidRDefault="00F74A9B" w:rsidP="00F74A9B">
      <w:pPr>
        <w:jc w:val="both"/>
        <w:outlineLvl w:val="0"/>
        <w:rPr>
          <w:rFonts w:eastAsia="Calibri" w:cs="Times New Roman"/>
          <w:iCs w:val="0"/>
          <w:szCs w:val="22"/>
          <w:lang w:val="es-MX" w:eastAsia="en-US"/>
        </w:rPr>
      </w:pPr>
    </w:p>
    <w:p w14:paraId="37C7365F"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El estado de variación en la hacienda pública así también presenta las modificaciones o cambios realizados en la hacienda pública, dichas variaciones representan la afectación por el resultado derivado del registro de operaciones de </w:t>
      </w:r>
      <w:r w:rsidRPr="00F74A9B">
        <w:rPr>
          <w:rFonts w:eastAsia="Calibri" w:cs="Times New Roman"/>
          <w:iCs w:val="0"/>
          <w:szCs w:val="22"/>
          <w:lang w:val="es-MX" w:eastAsia="en-US"/>
        </w:rPr>
        <w:lastRenderedPageBreak/>
        <w:t>ejercicios anteriores por reintegros, depuración contable, regularización de saldos; de igual manera por el aumento o disminución de las reservas de pensiones y de préstamos a corto y a largo plazo a la fecha que se informa, la hacienda pública refleja un saldo de 1 mil 100.0 millones de pesos.</w:t>
      </w:r>
    </w:p>
    <w:p w14:paraId="707DA404" w14:textId="77777777" w:rsidR="00F74A9B" w:rsidRPr="00F74A9B" w:rsidRDefault="00F74A9B" w:rsidP="00F74A9B">
      <w:pPr>
        <w:jc w:val="both"/>
        <w:outlineLvl w:val="0"/>
        <w:rPr>
          <w:rFonts w:eastAsia="Calibri" w:cs="Times New Roman"/>
          <w:iCs w:val="0"/>
          <w:szCs w:val="22"/>
          <w:lang w:val="es-MX" w:eastAsia="en-US"/>
        </w:rPr>
      </w:pPr>
    </w:p>
    <w:p w14:paraId="1F0A0E90"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Así también, es modificado por el aumento o disminución al patrimonio, derivado del registro de movimientos realizados durante el periodo que se informa. A la fecha que se informa la modificación neta positiva al patrimonio es de 442.7 millones de pesos.</w:t>
      </w:r>
    </w:p>
    <w:p w14:paraId="5FDD6D5F" w14:textId="77777777" w:rsidR="00F74A9B" w:rsidRPr="00F74A9B" w:rsidRDefault="00F74A9B" w:rsidP="00F74A9B">
      <w:pPr>
        <w:jc w:val="both"/>
        <w:outlineLvl w:val="0"/>
        <w:rPr>
          <w:rFonts w:eastAsia="Calibri" w:cs="Times New Roman"/>
          <w:iCs w:val="0"/>
          <w:szCs w:val="22"/>
          <w:lang w:val="es-MX" w:eastAsia="en-US"/>
        </w:rPr>
      </w:pPr>
    </w:p>
    <w:p w14:paraId="4CB9C528" w14:textId="77777777" w:rsidR="00F74A9B" w:rsidRPr="00F74A9B" w:rsidRDefault="00F74A9B" w:rsidP="00F74A9B">
      <w:pPr>
        <w:jc w:val="both"/>
        <w:rPr>
          <w:rFonts w:eastAsia="Calibri"/>
          <w:b/>
          <w:bCs/>
          <w:iCs w:val="0"/>
        </w:rPr>
      </w:pPr>
      <w:r w:rsidRPr="00F74A9B">
        <w:rPr>
          <w:rFonts w:eastAsia="Calibri"/>
          <w:b/>
          <w:bCs/>
          <w:iCs w:val="0"/>
        </w:rPr>
        <w:t>Notas al estado de flujos de efectivo</w:t>
      </w:r>
    </w:p>
    <w:p w14:paraId="0DCD5BBD" w14:textId="77777777" w:rsidR="00F74A9B" w:rsidRPr="00F74A9B" w:rsidRDefault="00F74A9B" w:rsidP="00F74A9B">
      <w:pPr>
        <w:jc w:val="both"/>
        <w:outlineLvl w:val="0"/>
        <w:rPr>
          <w:rFonts w:eastAsia="Calibri" w:cs="Times New Roman"/>
          <w:iCs w:val="0"/>
          <w:szCs w:val="22"/>
          <w:highlight w:val="cyan"/>
          <w:lang w:val="es-MX" w:eastAsia="en-US"/>
        </w:rPr>
      </w:pPr>
    </w:p>
    <w:p w14:paraId="1A450AB9" w14:textId="77777777" w:rsidR="00F74A9B" w:rsidRPr="00F74A9B" w:rsidRDefault="00F74A9B" w:rsidP="00F74A9B">
      <w:pPr>
        <w:tabs>
          <w:tab w:val="left" w:pos="6840"/>
        </w:tabs>
        <w:jc w:val="both"/>
        <w:outlineLvl w:val="0"/>
        <w:rPr>
          <w:rFonts w:eastAsia="Calibri" w:cs="Times New Roman"/>
          <w:iCs w:val="0"/>
          <w:szCs w:val="22"/>
          <w:lang w:val="es-MX" w:eastAsia="en-US"/>
        </w:rPr>
      </w:pPr>
      <w:r w:rsidRPr="00F74A9B">
        <w:rPr>
          <w:rFonts w:eastAsia="Calibri" w:cs="Times New Roman"/>
          <w:iCs w:val="0"/>
          <w:szCs w:val="22"/>
          <w:lang w:val="es-MX" w:eastAsia="en-US"/>
        </w:rPr>
        <w:t>El estado de flujos de efectivo de las Instituciones Públicas de Seguridad Social, muestra los flujos de efectivo, conformado por los elementos básicos: origen y aplicación de los recursos.</w:t>
      </w:r>
    </w:p>
    <w:p w14:paraId="65B9235C" w14:textId="77777777" w:rsidR="00F74A9B" w:rsidRPr="00F74A9B" w:rsidRDefault="00F74A9B" w:rsidP="00F74A9B">
      <w:pPr>
        <w:tabs>
          <w:tab w:val="left" w:pos="6840"/>
        </w:tabs>
        <w:jc w:val="both"/>
        <w:outlineLvl w:val="0"/>
        <w:rPr>
          <w:rFonts w:eastAsia="Calibri" w:cs="Times New Roman"/>
          <w:iCs w:val="0"/>
          <w:szCs w:val="22"/>
          <w:lang w:val="es-MX" w:eastAsia="en-US"/>
        </w:rPr>
      </w:pPr>
    </w:p>
    <w:p w14:paraId="0A8E7D8E" w14:textId="77777777" w:rsidR="00F74A9B" w:rsidRPr="00F74A9B" w:rsidRDefault="00F74A9B" w:rsidP="00F74A9B">
      <w:pPr>
        <w:tabs>
          <w:tab w:val="left" w:pos="6840"/>
        </w:tabs>
        <w:jc w:val="both"/>
        <w:outlineLvl w:val="0"/>
        <w:rPr>
          <w:rFonts w:eastAsia="Calibri" w:cs="Times New Roman"/>
          <w:iCs w:val="0"/>
          <w:szCs w:val="22"/>
          <w:lang w:val="es-MX" w:eastAsia="en-US"/>
        </w:rPr>
      </w:pPr>
      <w:r w:rsidRPr="00F74A9B">
        <w:rPr>
          <w:rFonts w:eastAsia="Calibri" w:cs="Times New Roman"/>
          <w:iCs w:val="0"/>
          <w:szCs w:val="22"/>
          <w:lang w:val="es-MX" w:eastAsia="en-US"/>
        </w:rPr>
        <w:t>El incremento neto en el efectivo y equivalentes al efectivo al 30 de junio de 2023 asciende a 20.2 millones de pesos.</w:t>
      </w:r>
    </w:p>
    <w:p w14:paraId="1773711A" w14:textId="77777777" w:rsidR="00F74A9B" w:rsidRPr="00F74A9B" w:rsidRDefault="00F74A9B" w:rsidP="00F74A9B">
      <w:pPr>
        <w:tabs>
          <w:tab w:val="left" w:pos="6840"/>
        </w:tabs>
        <w:jc w:val="both"/>
        <w:outlineLvl w:val="0"/>
        <w:rPr>
          <w:rFonts w:eastAsia="Calibri" w:cs="Times New Roman"/>
          <w:iCs w:val="0"/>
          <w:szCs w:val="22"/>
          <w:lang w:val="es-MX" w:eastAsia="en-US"/>
        </w:rPr>
      </w:pPr>
    </w:p>
    <w:p w14:paraId="42C6B4FB" w14:textId="77777777" w:rsidR="00F74A9B" w:rsidRPr="00F74A9B" w:rsidRDefault="00F74A9B" w:rsidP="00F74A9B">
      <w:pPr>
        <w:jc w:val="both"/>
        <w:rPr>
          <w:rFonts w:eastAsia="Calibri"/>
          <w:b/>
          <w:bCs/>
          <w:iCs w:val="0"/>
        </w:rPr>
      </w:pPr>
      <w:r w:rsidRPr="00F74A9B">
        <w:rPr>
          <w:rFonts w:eastAsia="Calibri"/>
          <w:b/>
          <w:bCs/>
          <w:iCs w:val="0"/>
        </w:rPr>
        <w:t>Flujo de efectivo de las actividades de operación</w:t>
      </w:r>
    </w:p>
    <w:p w14:paraId="5C19E669" w14:textId="77777777" w:rsidR="00F74A9B" w:rsidRPr="00F74A9B" w:rsidRDefault="00F74A9B" w:rsidP="00F74A9B">
      <w:pPr>
        <w:jc w:val="both"/>
        <w:rPr>
          <w:rFonts w:eastAsia="Calibri"/>
          <w:b/>
          <w:bCs/>
          <w:iCs w:val="0"/>
          <w:color w:val="B09A5B"/>
        </w:rPr>
      </w:pPr>
    </w:p>
    <w:p w14:paraId="68A93331"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Durante el periodo que se informa, las Instituciones Públicas de Seguridad Social recibieron ingresos de gestión por la cantidad de 2 mil 853.9 millones de pesos. El gasto de funcionamiento devengado por el periodo comprendido del 1 de enero al 30 de junio de 2023, asciende a 2 mil 440.9 millones de pesos, el cual refleja un flujo neto positivo por actividades de operación por un importe de 413.0 millones de pesos.</w:t>
      </w:r>
    </w:p>
    <w:p w14:paraId="3E1DD1F7" w14:textId="77777777" w:rsidR="00F74A9B" w:rsidRPr="00F74A9B" w:rsidRDefault="00F74A9B" w:rsidP="00F74A9B">
      <w:pPr>
        <w:jc w:val="both"/>
        <w:outlineLvl w:val="0"/>
        <w:rPr>
          <w:rFonts w:eastAsia="Calibri" w:cs="Times New Roman"/>
          <w:bCs/>
          <w:iCs w:val="0"/>
          <w:szCs w:val="22"/>
          <w:lang w:val="es-MX" w:eastAsia="en-US"/>
        </w:rPr>
      </w:pPr>
    </w:p>
    <w:p w14:paraId="190CD18A" w14:textId="77777777" w:rsidR="00F74A9B" w:rsidRPr="00F74A9B" w:rsidRDefault="00F74A9B" w:rsidP="00F74A9B">
      <w:pPr>
        <w:jc w:val="both"/>
        <w:rPr>
          <w:rFonts w:eastAsia="Calibri"/>
          <w:b/>
          <w:bCs/>
          <w:iCs w:val="0"/>
        </w:rPr>
      </w:pPr>
      <w:r w:rsidRPr="00F74A9B">
        <w:rPr>
          <w:rFonts w:eastAsia="Calibri"/>
          <w:b/>
          <w:bCs/>
          <w:iCs w:val="0"/>
        </w:rPr>
        <w:t>Flujo de efectivo de las actividades de inversión</w:t>
      </w:r>
    </w:p>
    <w:p w14:paraId="1BCF68B0" w14:textId="77777777" w:rsidR="00F74A9B" w:rsidRPr="00F74A9B" w:rsidRDefault="00F74A9B" w:rsidP="00F74A9B">
      <w:pPr>
        <w:jc w:val="both"/>
        <w:outlineLvl w:val="0"/>
        <w:rPr>
          <w:rFonts w:eastAsia="Calibri" w:cs="Times New Roman"/>
          <w:b/>
          <w:bCs/>
          <w:iCs w:val="0"/>
          <w:szCs w:val="22"/>
          <w:lang w:val="es-MX" w:eastAsia="en-US"/>
        </w:rPr>
      </w:pPr>
    </w:p>
    <w:p w14:paraId="7EEFDB56"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Durante el periodo que se informa, las Instituciones de Seguridad Social recibieron ingresos de inversión por la cantidad de 367.3 millones de pesos. El gasto de funcionamiento devengado por el periodo comprendido del 1 de enero al 30 de junio de 2023, asciende a 754.0 millones de pesos, el cual refleja un flujo neto a la baja por actividades de inversión por un importe de 386.7 millones de pesos.</w:t>
      </w:r>
    </w:p>
    <w:p w14:paraId="52BE634F" w14:textId="77777777" w:rsidR="00F74A9B" w:rsidRPr="00F74A9B" w:rsidRDefault="00F74A9B" w:rsidP="00F74A9B">
      <w:pPr>
        <w:jc w:val="both"/>
        <w:outlineLvl w:val="0"/>
        <w:rPr>
          <w:rFonts w:eastAsia="Calibri" w:cs="Times New Roman"/>
          <w:bCs/>
          <w:iCs w:val="0"/>
          <w:szCs w:val="22"/>
          <w:lang w:val="es-MX" w:eastAsia="en-US"/>
        </w:rPr>
      </w:pPr>
    </w:p>
    <w:p w14:paraId="6CF4AB48" w14:textId="77777777" w:rsidR="00F74A9B" w:rsidRPr="00F74A9B" w:rsidRDefault="00F74A9B" w:rsidP="00F74A9B">
      <w:pPr>
        <w:jc w:val="both"/>
        <w:rPr>
          <w:rFonts w:eastAsia="Calibri"/>
          <w:b/>
          <w:bCs/>
          <w:iCs w:val="0"/>
        </w:rPr>
      </w:pPr>
      <w:r w:rsidRPr="00F74A9B">
        <w:rPr>
          <w:rFonts w:eastAsia="Calibri"/>
          <w:b/>
          <w:bCs/>
          <w:iCs w:val="0"/>
        </w:rPr>
        <w:t>Flujo de efectivo de las actividades de financiamiento</w:t>
      </w:r>
    </w:p>
    <w:p w14:paraId="015BE458" w14:textId="77777777" w:rsidR="00F74A9B" w:rsidRPr="00F74A9B" w:rsidRDefault="00F74A9B" w:rsidP="00F74A9B">
      <w:pPr>
        <w:jc w:val="both"/>
        <w:outlineLvl w:val="0"/>
        <w:rPr>
          <w:rFonts w:eastAsia="Calibri" w:cs="Times New Roman"/>
          <w:b/>
          <w:bCs/>
          <w:iCs w:val="0"/>
          <w:szCs w:val="22"/>
          <w:lang w:val="es-MX" w:eastAsia="en-US"/>
        </w:rPr>
      </w:pPr>
    </w:p>
    <w:p w14:paraId="3D53A8C2"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 xml:space="preserve">Durante el periodo que se informa, las Instituciones Públicas de Seguridad Social recibió ingresos de financiamiento por la cantidad de 95.1 millones de pesos. El gasto de funcionamiento devengado por el periodo comprendido del 1 de enero al 30 de junio de 2023, asciende a 101.2 millones de pesos, el cual refleja un flujo neto negativo por actividades de financiamiento por un importe </w:t>
      </w:r>
      <w:proofErr w:type="gramStart"/>
      <w:r w:rsidRPr="00F74A9B">
        <w:rPr>
          <w:rFonts w:eastAsia="Calibri" w:cs="Times New Roman"/>
          <w:bCs/>
          <w:iCs w:val="0"/>
          <w:szCs w:val="22"/>
          <w:lang w:val="es-MX" w:eastAsia="en-US"/>
        </w:rPr>
        <w:t>de  6.1</w:t>
      </w:r>
      <w:proofErr w:type="gramEnd"/>
      <w:r w:rsidRPr="00F74A9B">
        <w:rPr>
          <w:rFonts w:eastAsia="Calibri" w:cs="Times New Roman"/>
          <w:bCs/>
          <w:iCs w:val="0"/>
          <w:szCs w:val="22"/>
          <w:lang w:val="es-MX" w:eastAsia="en-US"/>
        </w:rPr>
        <w:t xml:space="preserve"> millones de pesos.</w:t>
      </w:r>
    </w:p>
    <w:p w14:paraId="4D7DFB6F" w14:textId="77777777" w:rsidR="00F74A9B" w:rsidRPr="00F74A9B" w:rsidRDefault="00F74A9B" w:rsidP="00F74A9B">
      <w:pPr>
        <w:jc w:val="both"/>
        <w:outlineLvl w:val="0"/>
        <w:rPr>
          <w:rFonts w:eastAsia="Calibri" w:cs="Times New Roman"/>
          <w:b/>
          <w:bCs/>
          <w:iCs w:val="0"/>
          <w:szCs w:val="22"/>
          <w:lang w:val="es-MX" w:eastAsia="en-US"/>
        </w:rPr>
      </w:pPr>
    </w:p>
    <w:p w14:paraId="7523B846" w14:textId="77777777" w:rsidR="00F74A9B" w:rsidRPr="00F74A9B" w:rsidRDefault="00F74A9B" w:rsidP="00F74A9B">
      <w:pPr>
        <w:jc w:val="both"/>
        <w:rPr>
          <w:rFonts w:eastAsia="Calibri"/>
          <w:b/>
          <w:bCs/>
          <w:iCs w:val="0"/>
        </w:rPr>
      </w:pPr>
      <w:r w:rsidRPr="00F74A9B">
        <w:rPr>
          <w:rFonts w:eastAsia="Calibri"/>
          <w:b/>
          <w:bCs/>
          <w:iCs w:val="0"/>
        </w:rPr>
        <w:t>Efectivo y equivalentes al efectivo al final del ejercicio</w:t>
      </w:r>
    </w:p>
    <w:p w14:paraId="7661454B" w14:textId="77777777" w:rsidR="00F74A9B" w:rsidRPr="00F74A9B" w:rsidRDefault="00F74A9B" w:rsidP="00F74A9B">
      <w:pPr>
        <w:jc w:val="both"/>
        <w:outlineLvl w:val="0"/>
        <w:rPr>
          <w:rFonts w:eastAsia="Calibri" w:cs="Times New Roman"/>
          <w:b/>
          <w:bCs/>
          <w:iCs w:val="0"/>
          <w:szCs w:val="22"/>
          <w:lang w:val="es-MX" w:eastAsia="en-US"/>
        </w:rPr>
      </w:pPr>
    </w:p>
    <w:p w14:paraId="0CAC55CB"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 xml:space="preserve">Las cifras del efectivo y equivalentes al efectivo, al final del ejercicio que figuran en la última parte del Estado de Flujos de Efectivo de las Instituciones Públicas de Seguridad Social. </w:t>
      </w:r>
    </w:p>
    <w:p w14:paraId="4A6416DA" w14:textId="77777777" w:rsidR="00F74A9B" w:rsidRPr="00F74A9B" w:rsidRDefault="00F74A9B" w:rsidP="00F74A9B">
      <w:pPr>
        <w:jc w:val="both"/>
        <w:outlineLvl w:val="0"/>
        <w:rPr>
          <w:rFonts w:eastAsia="Calibri" w:cs="Times New Roman"/>
          <w:b/>
          <w:bCs/>
          <w:iCs w:val="0"/>
          <w:szCs w:val="22"/>
          <w:lang w:val="es-MX" w:eastAsia="en-US"/>
        </w:rPr>
      </w:pPr>
    </w:p>
    <w:p w14:paraId="7CCD7552" w14:textId="77777777" w:rsidR="00F74A9B" w:rsidRPr="00F74A9B" w:rsidRDefault="00F74A9B" w:rsidP="00F74A9B">
      <w:pPr>
        <w:jc w:val="center"/>
        <w:outlineLvl w:val="0"/>
        <w:rPr>
          <w:rFonts w:eastAsia="Calibri" w:cs="Times New Roman"/>
          <w:b/>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377B969" wp14:editId="231341C6">
            <wp:extent cx="4320000" cy="1129284"/>
            <wp:effectExtent l="0" t="0" r="444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0000" cy="1129284"/>
                    </a:xfrm>
                    <a:prstGeom prst="rect">
                      <a:avLst/>
                    </a:prstGeom>
                    <a:noFill/>
                    <a:ln>
                      <a:noFill/>
                    </a:ln>
                  </pic:spPr>
                </pic:pic>
              </a:graphicData>
            </a:graphic>
          </wp:inline>
        </w:drawing>
      </w:r>
    </w:p>
    <w:p w14:paraId="711AB99B" w14:textId="77777777" w:rsidR="00F74A9B" w:rsidRPr="00F74A9B" w:rsidRDefault="00F74A9B" w:rsidP="00F74A9B">
      <w:pPr>
        <w:jc w:val="both"/>
        <w:outlineLvl w:val="0"/>
        <w:rPr>
          <w:rFonts w:eastAsia="Calibri" w:cs="Times New Roman"/>
          <w:b/>
          <w:bCs/>
          <w:iCs w:val="0"/>
          <w:szCs w:val="22"/>
          <w:lang w:val="es-MX" w:eastAsia="en-US"/>
        </w:rPr>
      </w:pPr>
    </w:p>
    <w:p w14:paraId="294F6207" w14:textId="77777777" w:rsidR="00F74A9B" w:rsidRPr="00F74A9B" w:rsidRDefault="00F74A9B" w:rsidP="00F74A9B">
      <w:pPr>
        <w:jc w:val="both"/>
        <w:outlineLvl w:val="0"/>
        <w:rPr>
          <w:rFonts w:eastAsia="Calibri" w:cs="Times New Roman"/>
          <w:b/>
          <w:bCs/>
          <w:iCs w:val="0"/>
          <w:szCs w:val="22"/>
          <w:lang w:val="es-MX" w:eastAsia="en-US"/>
        </w:rPr>
      </w:pPr>
    </w:p>
    <w:p w14:paraId="65705D9D" w14:textId="77777777" w:rsidR="00F74A9B" w:rsidRPr="00F74A9B" w:rsidRDefault="00F74A9B" w:rsidP="00F74A9B">
      <w:pPr>
        <w:jc w:val="both"/>
        <w:rPr>
          <w:rFonts w:eastAsia="Calibri"/>
          <w:b/>
          <w:bCs/>
          <w:iCs w:val="0"/>
        </w:rPr>
      </w:pPr>
      <w:r w:rsidRPr="00F74A9B">
        <w:rPr>
          <w:rFonts w:eastAsia="Calibri"/>
          <w:b/>
          <w:bCs/>
          <w:iCs w:val="0"/>
        </w:rPr>
        <w:t xml:space="preserve">Efectivo y equivalentes </w:t>
      </w:r>
    </w:p>
    <w:p w14:paraId="22C43D48" w14:textId="77777777" w:rsidR="00F74A9B" w:rsidRPr="00F74A9B" w:rsidRDefault="00F74A9B" w:rsidP="00F74A9B">
      <w:pPr>
        <w:jc w:val="both"/>
        <w:outlineLvl w:val="0"/>
        <w:rPr>
          <w:rFonts w:eastAsia="Calibri" w:cs="Times New Roman"/>
          <w:b/>
          <w:bCs/>
          <w:iCs w:val="0"/>
          <w:szCs w:val="22"/>
          <w:lang w:val="es-MX" w:eastAsia="en-US"/>
        </w:rPr>
      </w:pPr>
    </w:p>
    <w:p w14:paraId="5D6FC68D"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El análisis de los saldos inicial y final de efectivo y equivalentes al efectivo, al final del ejercicio del estado de flujos de efectivo, respecto a la composición del rubro efectivo y equivalentes es como sigue:</w:t>
      </w:r>
    </w:p>
    <w:p w14:paraId="2420EF6F" w14:textId="77777777" w:rsidR="00F74A9B" w:rsidRPr="00F74A9B" w:rsidRDefault="00F74A9B" w:rsidP="00F74A9B">
      <w:pPr>
        <w:jc w:val="both"/>
        <w:outlineLvl w:val="0"/>
        <w:rPr>
          <w:rFonts w:eastAsia="Calibri" w:cs="Times New Roman"/>
          <w:b/>
          <w:bCs/>
          <w:iCs w:val="0"/>
          <w:szCs w:val="22"/>
          <w:lang w:val="es-MX" w:eastAsia="en-US"/>
        </w:rPr>
      </w:pPr>
    </w:p>
    <w:p w14:paraId="1E8E317E" w14:textId="77777777" w:rsidR="00F74A9B" w:rsidRPr="00F74A9B" w:rsidRDefault="00F74A9B" w:rsidP="00F74A9B">
      <w:pPr>
        <w:tabs>
          <w:tab w:val="left" w:pos="6840"/>
        </w:tabs>
        <w:jc w:val="center"/>
        <w:outlineLvl w:val="0"/>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lastRenderedPageBreak/>
        <w:drawing>
          <wp:inline distT="0" distB="0" distL="0" distR="0" wp14:anchorId="05A41E98" wp14:editId="38A76433">
            <wp:extent cx="4320000" cy="2040917"/>
            <wp:effectExtent l="0" t="0" r="444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0000" cy="2040917"/>
                    </a:xfrm>
                    <a:prstGeom prst="rect">
                      <a:avLst/>
                    </a:prstGeom>
                    <a:noFill/>
                    <a:ln>
                      <a:noFill/>
                    </a:ln>
                  </pic:spPr>
                </pic:pic>
              </a:graphicData>
            </a:graphic>
          </wp:inline>
        </w:drawing>
      </w:r>
    </w:p>
    <w:p w14:paraId="500D8324" w14:textId="77777777" w:rsidR="00F74A9B" w:rsidRPr="00F74A9B" w:rsidRDefault="00F74A9B" w:rsidP="00F74A9B">
      <w:pPr>
        <w:tabs>
          <w:tab w:val="left" w:pos="6840"/>
        </w:tabs>
        <w:jc w:val="both"/>
        <w:outlineLvl w:val="0"/>
        <w:rPr>
          <w:rFonts w:eastAsia="Calibri" w:cs="Times New Roman"/>
          <w:i/>
          <w:iCs w:val="0"/>
          <w:szCs w:val="22"/>
          <w:lang w:val="es-MX" w:eastAsia="en-US"/>
        </w:rPr>
      </w:pPr>
    </w:p>
    <w:p w14:paraId="316CEA26" w14:textId="77777777" w:rsidR="00F74A9B" w:rsidRPr="00F74A9B" w:rsidRDefault="00F74A9B" w:rsidP="00F74A9B">
      <w:pPr>
        <w:tabs>
          <w:tab w:val="left" w:pos="6840"/>
        </w:tabs>
        <w:jc w:val="both"/>
        <w:outlineLvl w:val="0"/>
        <w:rPr>
          <w:rFonts w:eastAsia="Calibri" w:cs="Times New Roman"/>
          <w:i/>
          <w:iCs w:val="0"/>
          <w:szCs w:val="22"/>
          <w:lang w:val="es-MX" w:eastAsia="en-US"/>
        </w:rPr>
      </w:pPr>
    </w:p>
    <w:p w14:paraId="3A5F8720" w14:textId="77777777" w:rsidR="00F74A9B" w:rsidRPr="00F74A9B" w:rsidRDefault="00F74A9B" w:rsidP="00F74A9B">
      <w:pPr>
        <w:jc w:val="both"/>
        <w:rPr>
          <w:rFonts w:eastAsia="Calibri"/>
          <w:b/>
          <w:bCs/>
          <w:iCs w:val="0"/>
        </w:rPr>
      </w:pPr>
      <w:r w:rsidRPr="00F74A9B">
        <w:rPr>
          <w:rFonts w:eastAsia="Calibri"/>
          <w:b/>
          <w:bCs/>
          <w:iCs w:val="0"/>
        </w:rPr>
        <w:t>Adquisiciones de las Actividades de Inversión efectivamente pagadas</w:t>
      </w:r>
    </w:p>
    <w:p w14:paraId="7DCFAFDC" w14:textId="77777777" w:rsidR="00F74A9B" w:rsidRPr="00F74A9B" w:rsidRDefault="00F74A9B" w:rsidP="00F74A9B">
      <w:pPr>
        <w:jc w:val="both"/>
        <w:outlineLvl w:val="0"/>
        <w:rPr>
          <w:rFonts w:eastAsia="Calibri" w:cs="Times New Roman"/>
          <w:b/>
          <w:bCs/>
          <w:iCs w:val="0"/>
          <w:szCs w:val="22"/>
          <w:lang w:val="es-MX" w:eastAsia="en-US"/>
        </w:rPr>
      </w:pPr>
    </w:p>
    <w:p w14:paraId="239A97F0"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Al 30 de junio de 2023, se realizaron adquisiciones de las Actividades de Inversión efectivamente pagadas, respecto al apartado de aplicación, mismas que a continuación se describen:</w:t>
      </w:r>
    </w:p>
    <w:p w14:paraId="7CC3A654" w14:textId="77777777" w:rsidR="00F74A9B" w:rsidRPr="00F74A9B" w:rsidRDefault="00F74A9B" w:rsidP="00F74A9B">
      <w:pPr>
        <w:jc w:val="both"/>
        <w:outlineLvl w:val="0"/>
        <w:rPr>
          <w:rFonts w:eastAsia="Calibri" w:cs="Times New Roman"/>
          <w:bCs/>
          <w:iCs w:val="0"/>
          <w:szCs w:val="22"/>
          <w:lang w:val="es-MX" w:eastAsia="en-US"/>
        </w:rPr>
      </w:pPr>
    </w:p>
    <w:p w14:paraId="78D0E40A" w14:textId="77777777" w:rsidR="00F74A9B" w:rsidRPr="00F74A9B" w:rsidRDefault="00F74A9B" w:rsidP="00F74A9B">
      <w:pPr>
        <w:jc w:val="center"/>
        <w:outlineLvl w:val="0"/>
        <w:rPr>
          <w:rFonts w:eastAsia="Calibri" w:cs="Times New Roman"/>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5CC36F7" wp14:editId="067611EA">
            <wp:extent cx="4320000" cy="3567144"/>
            <wp:effectExtent l="0" t="0" r="444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0000" cy="3567144"/>
                    </a:xfrm>
                    <a:prstGeom prst="rect">
                      <a:avLst/>
                    </a:prstGeom>
                    <a:noFill/>
                    <a:ln>
                      <a:noFill/>
                    </a:ln>
                  </pic:spPr>
                </pic:pic>
              </a:graphicData>
            </a:graphic>
          </wp:inline>
        </w:drawing>
      </w:r>
    </w:p>
    <w:p w14:paraId="7C0913CA" w14:textId="77777777" w:rsidR="00406EF6" w:rsidRDefault="00406EF6" w:rsidP="00F74A9B">
      <w:pPr>
        <w:jc w:val="both"/>
        <w:rPr>
          <w:rFonts w:eastAsia="Calibri"/>
          <w:b/>
          <w:bCs/>
          <w:iCs w:val="0"/>
        </w:rPr>
      </w:pPr>
    </w:p>
    <w:p w14:paraId="2723E08E" w14:textId="77777777" w:rsidR="00406EF6" w:rsidRDefault="00406EF6" w:rsidP="00F74A9B">
      <w:pPr>
        <w:jc w:val="both"/>
        <w:rPr>
          <w:rFonts w:eastAsia="Calibri"/>
          <w:b/>
          <w:bCs/>
          <w:iCs w:val="0"/>
        </w:rPr>
      </w:pPr>
    </w:p>
    <w:p w14:paraId="477A5506" w14:textId="03491E81" w:rsidR="00F74A9B" w:rsidRPr="00F74A9B" w:rsidRDefault="00F74A9B" w:rsidP="00F74A9B">
      <w:pPr>
        <w:jc w:val="both"/>
        <w:rPr>
          <w:rFonts w:eastAsia="Calibri"/>
          <w:b/>
          <w:bCs/>
          <w:iCs w:val="0"/>
        </w:rPr>
      </w:pPr>
      <w:r w:rsidRPr="00F74A9B">
        <w:rPr>
          <w:rFonts w:eastAsia="Calibri"/>
          <w:b/>
          <w:bCs/>
          <w:iCs w:val="0"/>
        </w:rPr>
        <w:t>Conciliación de Flujos de Efectivo Netos</w:t>
      </w:r>
    </w:p>
    <w:p w14:paraId="3B1C945B" w14:textId="77777777" w:rsidR="00F74A9B" w:rsidRPr="00F74A9B" w:rsidRDefault="00F74A9B" w:rsidP="00F74A9B">
      <w:pPr>
        <w:spacing w:line="259" w:lineRule="auto"/>
        <w:rPr>
          <w:rFonts w:eastAsia="Calibri" w:cs="Times New Roman"/>
          <w:bCs/>
          <w:iCs w:val="0"/>
          <w:szCs w:val="22"/>
          <w:lang w:val="es-MX" w:eastAsia="en-US"/>
        </w:rPr>
      </w:pPr>
    </w:p>
    <w:p w14:paraId="52744458" w14:textId="77777777" w:rsidR="00F74A9B" w:rsidRPr="00F74A9B" w:rsidRDefault="00F74A9B" w:rsidP="00F74A9B">
      <w:pPr>
        <w:spacing w:line="259" w:lineRule="auto"/>
        <w:jc w:val="both"/>
        <w:rPr>
          <w:rFonts w:eastAsia="Calibri" w:cs="Times New Roman"/>
          <w:iCs w:val="0"/>
          <w:szCs w:val="22"/>
          <w:lang w:val="es-MX" w:eastAsia="en-US"/>
        </w:rPr>
      </w:pPr>
      <w:r w:rsidRPr="00F74A9B">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516EC347" w14:textId="77777777" w:rsidR="00F74A9B" w:rsidRPr="00F74A9B" w:rsidRDefault="00F74A9B" w:rsidP="00F74A9B">
      <w:pPr>
        <w:jc w:val="both"/>
        <w:rPr>
          <w:rFonts w:eastAsia="Calibri"/>
          <w:b/>
          <w:bCs/>
          <w:iCs w:val="0"/>
          <w:lang w:val="es-MX"/>
        </w:rPr>
      </w:pPr>
    </w:p>
    <w:p w14:paraId="2146566F" w14:textId="77777777" w:rsidR="00F74A9B" w:rsidRPr="00F74A9B" w:rsidRDefault="00F74A9B" w:rsidP="00F74A9B">
      <w:pPr>
        <w:jc w:val="center"/>
        <w:rPr>
          <w:rFonts w:eastAsia="Calibri"/>
          <w:b/>
          <w:bCs/>
          <w:iCs w:val="0"/>
        </w:rPr>
      </w:pPr>
      <w:r w:rsidRPr="00F74A9B">
        <w:rPr>
          <w:rFonts w:eastAsia="Calibri"/>
          <w:b/>
          <w:bCs/>
          <w:iCs w:val="0"/>
        </w:rPr>
        <w:lastRenderedPageBreak/>
        <w:drawing>
          <wp:inline distT="0" distB="0" distL="0" distR="0" wp14:anchorId="2D7C0AA3" wp14:editId="0AB0D221">
            <wp:extent cx="6331585" cy="172910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1585" cy="1729105"/>
                    </a:xfrm>
                    <a:prstGeom prst="rect">
                      <a:avLst/>
                    </a:prstGeom>
                    <a:noFill/>
                    <a:ln>
                      <a:noFill/>
                    </a:ln>
                  </pic:spPr>
                </pic:pic>
              </a:graphicData>
            </a:graphic>
          </wp:inline>
        </w:drawing>
      </w:r>
    </w:p>
    <w:p w14:paraId="226E996C" w14:textId="77777777" w:rsidR="00F74A9B" w:rsidRPr="00F74A9B" w:rsidRDefault="00F74A9B" w:rsidP="00F74A9B">
      <w:pPr>
        <w:jc w:val="both"/>
        <w:rPr>
          <w:rFonts w:eastAsia="Calibri"/>
          <w:b/>
          <w:bCs/>
          <w:iCs w:val="0"/>
        </w:rPr>
      </w:pPr>
    </w:p>
    <w:p w14:paraId="08008773" w14:textId="77777777" w:rsidR="00F74A9B" w:rsidRPr="00F74A9B" w:rsidRDefault="00F74A9B" w:rsidP="00F74A9B">
      <w:pPr>
        <w:jc w:val="both"/>
        <w:rPr>
          <w:rFonts w:eastAsia="Calibri"/>
          <w:b/>
          <w:bCs/>
          <w:iCs w:val="0"/>
        </w:rPr>
      </w:pPr>
    </w:p>
    <w:p w14:paraId="1758F7A2" w14:textId="77777777" w:rsidR="00F74A9B" w:rsidRPr="00F74A9B" w:rsidRDefault="00F74A9B" w:rsidP="00F74A9B">
      <w:pPr>
        <w:jc w:val="both"/>
        <w:rPr>
          <w:rFonts w:eastAsia="Calibri"/>
          <w:b/>
          <w:bCs/>
          <w:iCs w:val="0"/>
        </w:rPr>
      </w:pPr>
      <w:r w:rsidRPr="00F74A9B">
        <w:rPr>
          <w:rFonts w:eastAsia="Calibri"/>
          <w:b/>
          <w:bCs/>
          <w:iCs w:val="0"/>
        </w:rPr>
        <w:t>Conciliación entre los ingresos presupuestarios y contables, así como entre los egresos presupuestarios y los gastos contables</w:t>
      </w:r>
    </w:p>
    <w:p w14:paraId="4B20C5D0" w14:textId="77777777" w:rsidR="00F74A9B" w:rsidRPr="00F74A9B" w:rsidRDefault="00F74A9B" w:rsidP="00F74A9B">
      <w:pPr>
        <w:spacing w:line="259" w:lineRule="auto"/>
        <w:jc w:val="both"/>
        <w:rPr>
          <w:rFonts w:eastAsia="Calibri" w:cs="Times New Roman"/>
          <w:bCs/>
          <w:iCs w:val="0"/>
          <w:szCs w:val="22"/>
          <w:lang w:val="es-MX" w:eastAsia="en-US"/>
        </w:rPr>
      </w:pPr>
    </w:p>
    <w:p w14:paraId="43518CBC" w14:textId="77777777" w:rsidR="00F74A9B" w:rsidRPr="00F74A9B" w:rsidRDefault="00F74A9B" w:rsidP="00F74A9B">
      <w:pPr>
        <w:spacing w:line="259" w:lineRule="auto"/>
        <w:jc w:val="both"/>
        <w:rPr>
          <w:rFonts w:eastAsia="Calibri" w:cs="Times New Roman"/>
          <w:iCs w:val="0"/>
          <w:szCs w:val="22"/>
          <w:lang w:val="es-MX" w:eastAsia="en-US"/>
        </w:rPr>
      </w:pPr>
      <w:r w:rsidRPr="00F74A9B">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Instituciones Públicas de Seguridad Social, correspondiente del 1 de enero al 30 de junio de 2023:</w:t>
      </w:r>
    </w:p>
    <w:p w14:paraId="2A90EFC6" w14:textId="77777777" w:rsidR="00F74A9B" w:rsidRPr="00F74A9B" w:rsidRDefault="00F74A9B" w:rsidP="00F74A9B">
      <w:pPr>
        <w:jc w:val="both"/>
        <w:outlineLvl w:val="0"/>
        <w:rPr>
          <w:rFonts w:eastAsia="Calibri" w:cs="Times New Roman"/>
          <w:iCs w:val="0"/>
          <w:szCs w:val="22"/>
          <w:lang w:val="es-MX" w:eastAsia="en-US"/>
        </w:rPr>
      </w:pPr>
    </w:p>
    <w:p w14:paraId="154B52DA" w14:textId="77777777" w:rsidR="00F74A9B" w:rsidRPr="00F74A9B" w:rsidRDefault="00F74A9B" w:rsidP="00F74A9B">
      <w:pPr>
        <w:jc w:val="center"/>
        <w:outlineLvl w:val="0"/>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C79F755" wp14:editId="2E124C53">
            <wp:extent cx="6331585" cy="350012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1585" cy="3500120"/>
                    </a:xfrm>
                    <a:prstGeom prst="rect">
                      <a:avLst/>
                    </a:prstGeom>
                    <a:noFill/>
                    <a:ln>
                      <a:noFill/>
                    </a:ln>
                  </pic:spPr>
                </pic:pic>
              </a:graphicData>
            </a:graphic>
          </wp:inline>
        </w:drawing>
      </w:r>
    </w:p>
    <w:p w14:paraId="05B63975" w14:textId="77777777" w:rsidR="00F74A9B" w:rsidRPr="00F74A9B" w:rsidRDefault="00F74A9B" w:rsidP="00F74A9B">
      <w:pPr>
        <w:jc w:val="both"/>
        <w:outlineLvl w:val="0"/>
        <w:rPr>
          <w:rFonts w:eastAsia="Calibri" w:cs="Times New Roman"/>
          <w:iCs w:val="0"/>
          <w:szCs w:val="22"/>
          <w:lang w:val="es-MX" w:eastAsia="en-US"/>
        </w:rPr>
      </w:pPr>
    </w:p>
    <w:p w14:paraId="3AC70330" w14:textId="77777777" w:rsidR="00F74A9B" w:rsidRPr="00F74A9B" w:rsidRDefault="00F74A9B" w:rsidP="00F74A9B">
      <w:pPr>
        <w:jc w:val="both"/>
        <w:outlineLvl w:val="0"/>
        <w:rPr>
          <w:rFonts w:eastAsia="Calibri" w:cs="Times New Roman"/>
          <w:iCs w:val="0"/>
          <w:noProof/>
          <w:szCs w:val="22"/>
          <w:lang w:val="es-MX" w:eastAsia="es-MX"/>
        </w:rPr>
      </w:pPr>
    </w:p>
    <w:p w14:paraId="7FD21F6D" w14:textId="77777777" w:rsidR="00F74A9B" w:rsidRPr="00F74A9B" w:rsidRDefault="00F74A9B" w:rsidP="00F74A9B">
      <w:pPr>
        <w:jc w:val="center"/>
        <w:outlineLvl w:val="0"/>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lastRenderedPageBreak/>
        <w:drawing>
          <wp:inline distT="0" distB="0" distL="0" distR="0" wp14:anchorId="0F06DAD5" wp14:editId="1505C638">
            <wp:extent cx="6331585" cy="603059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6030595"/>
                    </a:xfrm>
                    <a:prstGeom prst="rect">
                      <a:avLst/>
                    </a:prstGeom>
                    <a:noFill/>
                    <a:ln>
                      <a:noFill/>
                    </a:ln>
                  </pic:spPr>
                </pic:pic>
              </a:graphicData>
            </a:graphic>
          </wp:inline>
        </w:drawing>
      </w:r>
    </w:p>
    <w:p w14:paraId="3B0C9461" w14:textId="77777777" w:rsidR="00F74A9B" w:rsidRPr="00F74A9B" w:rsidRDefault="00F74A9B" w:rsidP="00F74A9B">
      <w:pPr>
        <w:jc w:val="both"/>
        <w:outlineLvl w:val="0"/>
        <w:rPr>
          <w:rFonts w:eastAsia="Calibri" w:cs="Times New Roman"/>
          <w:bCs/>
          <w:iCs w:val="0"/>
          <w:szCs w:val="22"/>
          <w:lang w:val="es-MX" w:eastAsia="en-US"/>
        </w:rPr>
      </w:pPr>
    </w:p>
    <w:p w14:paraId="6CA529C6" w14:textId="77777777" w:rsidR="00F74A9B" w:rsidRPr="00F74A9B" w:rsidRDefault="00F74A9B" w:rsidP="00F74A9B">
      <w:pPr>
        <w:jc w:val="both"/>
        <w:outlineLvl w:val="0"/>
        <w:rPr>
          <w:rFonts w:eastAsia="Calibri" w:cs="Times New Roman"/>
          <w:bCs/>
          <w:iCs w:val="0"/>
          <w:szCs w:val="22"/>
          <w:lang w:val="es-MX" w:eastAsia="en-US"/>
        </w:rPr>
      </w:pPr>
    </w:p>
    <w:p w14:paraId="17407749" w14:textId="77777777" w:rsidR="00F74A9B" w:rsidRPr="00F74A9B" w:rsidRDefault="00F74A9B" w:rsidP="00F74A9B">
      <w:pPr>
        <w:rPr>
          <w:b/>
          <w:bCs/>
          <w:iCs w:val="0"/>
          <w:sz w:val="24"/>
          <w:szCs w:val="24"/>
        </w:rPr>
      </w:pPr>
      <w:r w:rsidRPr="00F74A9B">
        <w:rPr>
          <w:b/>
          <w:bCs/>
          <w:iCs w:val="0"/>
          <w:sz w:val="24"/>
          <w:szCs w:val="24"/>
        </w:rPr>
        <w:t>Notas de memoria (cuentas de orden)</w:t>
      </w:r>
    </w:p>
    <w:p w14:paraId="1F2CE3CB" w14:textId="77777777" w:rsidR="00F74A9B" w:rsidRPr="00F74A9B" w:rsidRDefault="00F74A9B" w:rsidP="00F74A9B">
      <w:pPr>
        <w:jc w:val="both"/>
        <w:outlineLvl w:val="0"/>
        <w:rPr>
          <w:rFonts w:eastAsia="Calibri" w:cs="Times New Roman"/>
          <w:b/>
          <w:bCs/>
          <w:iCs w:val="0"/>
          <w:szCs w:val="22"/>
          <w:lang w:val="es-MX" w:eastAsia="en-US"/>
        </w:rPr>
      </w:pPr>
    </w:p>
    <w:p w14:paraId="182BA609"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5D8D5F17" w14:textId="77777777" w:rsidR="00F74A9B" w:rsidRPr="00F74A9B" w:rsidRDefault="00F74A9B" w:rsidP="00F74A9B">
      <w:pPr>
        <w:jc w:val="both"/>
        <w:outlineLvl w:val="0"/>
        <w:rPr>
          <w:rFonts w:eastAsia="Calibri" w:cs="Times New Roman"/>
          <w:bCs/>
          <w:iCs w:val="0"/>
          <w:szCs w:val="22"/>
          <w:lang w:val="es-MX" w:eastAsia="en-US"/>
        </w:rPr>
      </w:pPr>
    </w:p>
    <w:p w14:paraId="1385DB90" w14:textId="77777777" w:rsidR="00F74A9B" w:rsidRPr="00F74A9B" w:rsidRDefault="00F74A9B" w:rsidP="00F74A9B">
      <w:pPr>
        <w:jc w:val="both"/>
        <w:outlineLvl w:val="0"/>
        <w:rPr>
          <w:rFonts w:eastAsia="Calibri" w:cs="Times New Roman"/>
          <w:bCs/>
          <w:iCs w:val="0"/>
          <w:szCs w:val="22"/>
          <w:lang w:val="es-MX" w:eastAsia="en-US"/>
        </w:rPr>
      </w:pPr>
      <w:r w:rsidRPr="00F74A9B">
        <w:rPr>
          <w:rFonts w:eastAsia="Calibri" w:cs="Times New Roman"/>
          <w:bCs/>
          <w:iCs w:val="0"/>
          <w:szCs w:val="22"/>
          <w:lang w:val="es-MX" w:eastAsia="en-U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1144CD80" w14:textId="77777777" w:rsidR="00F74A9B" w:rsidRPr="00F74A9B" w:rsidRDefault="00F74A9B" w:rsidP="00F74A9B">
      <w:pPr>
        <w:jc w:val="both"/>
        <w:outlineLvl w:val="0"/>
        <w:rPr>
          <w:rFonts w:eastAsia="Calibri" w:cs="Times New Roman"/>
          <w:bCs/>
          <w:iCs w:val="0"/>
          <w:szCs w:val="22"/>
          <w:lang w:val="es-MX" w:eastAsia="en-US"/>
        </w:rPr>
      </w:pPr>
    </w:p>
    <w:p w14:paraId="5B4DE54D" w14:textId="77777777" w:rsidR="00406EF6" w:rsidRDefault="00406EF6">
      <w:pPr>
        <w:rPr>
          <w:rFonts w:eastAsia="Calibri"/>
          <w:b/>
          <w:bCs/>
          <w:iCs w:val="0"/>
        </w:rPr>
      </w:pPr>
      <w:r>
        <w:rPr>
          <w:rFonts w:eastAsia="Calibri"/>
          <w:b/>
          <w:bCs/>
          <w:iCs w:val="0"/>
        </w:rPr>
        <w:br w:type="page"/>
      </w:r>
    </w:p>
    <w:p w14:paraId="5BDA6467" w14:textId="266A6914" w:rsidR="00F74A9B" w:rsidRPr="00F74A9B" w:rsidRDefault="00F74A9B" w:rsidP="00F74A9B">
      <w:pPr>
        <w:jc w:val="both"/>
        <w:rPr>
          <w:rFonts w:eastAsia="Calibri"/>
          <w:b/>
          <w:bCs/>
          <w:iCs w:val="0"/>
          <w:caps/>
        </w:rPr>
      </w:pPr>
      <w:r w:rsidRPr="00F74A9B">
        <w:rPr>
          <w:rFonts w:eastAsia="Calibri"/>
          <w:b/>
          <w:bCs/>
          <w:iCs w:val="0"/>
        </w:rPr>
        <w:lastRenderedPageBreak/>
        <w:t>Cuentas de orden contables</w:t>
      </w:r>
    </w:p>
    <w:p w14:paraId="644A9DDB" w14:textId="77777777" w:rsidR="00F74A9B" w:rsidRPr="00F74A9B" w:rsidRDefault="00F74A9B" w:rsidP="00F74A9B">
      <w:pPr>
        <w:jc w:val="both"/>
        <w:outlineLvl w:val="0"/>
        <w:rPr>
          <w:rFonts w:eastAsia="Calibri" w:cs="Times New Roman"/>
          <w:b/>
          <w:bCs/>
          <w:i/>
          <w:szCs w:val="22"/>
          <w:lang w:val="es-MX" w:eastAsia="en-US"/>
        </w:rPr>
      </w:pPr>
    </w:p>
    <w:p w14:paraId="1D96CB41" w14:textId="77777777" w:rsidR="00F74A9B" w:rsidRPr="00F74A9B" w:rsidRDefault="00F74A9B" w:rsidP="00F74A9B">
      <w:pPr>
        <w:jc w:val="both"/>
        <w:rPr>
          <w:rFonts w:eastAsia="Calibri"/>
          <w:b/>
          <w:bCs/>
          <w:iCs w:val="0"/>
        </w:rPr>
      </w:pPr>
      <w:r w:rsidRPr="00F74A9B">
        <w:rPr>
          <w:rFonts w:eastAsia="Calibri"/>
          <w:b/>
          <w:bCs/>
          <w:iCs w:val="0"/>
        </w:rPr>
        <w:t>Valores</w:t>
      </w:r>
    </w:p>
    <w:p w14:paraId="3D003748" w14:textId="77777777" w:rsidR="00F74A9B" w:rsidRPr="00F74A9B" w:rsidRDefault="00F74A9B" w:rsidP="00F74A9B">
      <w:pPr>
        <w:autoSpaceDE w:val="0"/>
        <w:autoSpaceDN w:val="0"/>
        <w:adjustRightInd w:val="0"/>
        <w:jc w:val="both"/>
        <w:rPr>
          <w:rFonts w:eastAsia="Calibri" w:cs="Times New Roman"/>
          <w:b/>
          <w:i/>
          <w:iCs w:val="0"/>
          <w:szCs w:val="22"/>
          <w:lang w:val="es-MX" w:eastAsia="en-US"/>
        </w:rPr>
      </w:pPr>
    </w:p>
    <w:p w14:paraId="4C55A79D"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Corresponde a ejercicios anteriores, el cual se encuentra en proceso de depuración con fundamento en el artículo 15 frac. VI de la normatividad contable aplicable a las entidades paraestatales del estado de Chiapas.</w:t>
      </w:r>
    </w:p>
    <w:p w14:paraId="0D0BFF71"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20533784" w14:textId="77777777" w:rsidR="00F74A9B" w:rsidRPr="00F74A9B" w:rsidRDefault="00F74A9B" w:rsidP="00F74A9B">
      <w:pPr>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19920599" wp14:editId="11ED7B5A">
            <wp:extent cx="6331585" cy="180911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1809115"/>
                    </a:xfrm>
                    <a:prstGeom prst="rect">
                      <a:avLst/>
                    </a:prstGeom>
                    <a:noFill/>
                    <a:ln>
                      <a:noFill/>
                    </a:ln>
                  </pic:spPr>
                </pic:pic>
              </a:graphicData>
            </a:graphic>
          </wp:inline>
        </w:drawing>
      </w:r>
    </w:p>
    <w:p w14:paraId="338595E6"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26D47551"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3FA57952" w14:textId="77777777" w:rsidR="00F74A9B" w:rsidRPr="00F74A9B" w:rsidRDefault="00F74A9B" w:rsidP="00F74A9B">
      <w:pPr>
        <w:jc w:val="both"/>
        <w:rPr>
          <w:rFonts w:eastAsia="Calibri"/>
          <w:b/>
          <w:bCs/>
          <w:iCs w:val="0"/>
        </w:rPr>
      </w:pPr>
      <w:r w:rsidRPr="00F74A9B">
        <w:rPr>
          <w:rFonts w:eastAsia="Calibri"/>
          <w:b/>
          <w:bCs/>
          <w:iCs w:val="0"/>
        </w:rPr>
        <w:t>Emisión de obligaciones</w:t>
      </w:r>
    </w:p>
    <w:p w14:paraId="4A2C10E9" w14:textId="77777777" w:rsidR="00F74A9B" w:rsidRPr="00F74A9B" w:rsidRDefault="00F74A9B" w:rsidP="00F74A9B">
      <w:pPr>
        <w:autoSpaceDE w:val="0"/>
        <w:autoSpaceDN w:val="0"/>
        <w:adjustRightInd w:val="0"/>
        <w:jc w:val="both"/>
        <w:rPr>
          <w:rFonts w:eastAsia="Calibri" w:cs="Times New Roman"/>
          <w:b/>
          <w:i/>
          <w:iCs w:val="0"/>
          <w:szCs w:val="22"/>
          <w:lang w:val="es-MX" w:eastAsia="en-US"/>
        </w:rPr>
      </w:pPr>
    </w:p>
    <w:p w14:paraId="1791977C"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w:t>
      </w:r>
    </w:p>
    <w:p w14:paraId="476D258C"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414639DC" w14:textId="77777777" w:rsidR="00F74A9B" w:rsidRPr="00F74A9B" w:rsidRDefault="00F74A9B" w:rsidP="00F74A9B">
      <w:pPr>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5EA1EB15" wp14:editId="04C47819">
            <wp:extent cx="6181725" cy="2962275"/>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14:paraId="3E268A22"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678E12B1"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506FF00F" w14:textId="77777777" w:rsidR="00F74A9B" w:rsidRPr="00F74A9B" w:rsidRDefault="00F74A9B" w:rsidP="00F74A9B">
      <w:pPr>
        <w:jc w:val="both"/>
        <w:rPr>
          <w:rFonts w:eastAsia="Calibri"/>
          <w:b/>
          <w:bCs/>
          <w:i/>
          <w:iCs w:val="0"/>
        </w:rPr>
      </w:pPr>
      <w:r w:rsidRPr="00F74A9B">
        <w:rPr>
          <w:rFonts w:eastAsia="Calibri"/>
          <w:b/>
          <w:bCs/>
          <w:iCs w:val="0"/>
        </w:rPr>
        <w:t>Juicios</w:t>
      </w:r>
    </w:p>
    <w:p w14:paraId="71594E88" w14:textId="77777777" w:rsidR="00F74A9B" w:rsidRPr="00F74A9B" w:rsidRDefault="00F74A9B" w:rsidP="00F74A9B">
      <w:pPr>
        <w:autoSpaceDE w:val="0"/>
        <w:autoSpaceDN w:val="0"/>
        <w:adjustRightInd w:val="0"/>
        <w:jc w:val="both"/>
        <w:rPr>
          <w:rFonts w:eastAsia="Calibri" w:cs="Times New Roman"/>
          <w:b/>
          <w:i/>
          <w:iCs w:val="0"/>
          <w:szCs w:val="22"/>
          <w:lang w:val="es-MX" w:eastAsia="en-US"/>
        </w:rPr>
      </w:pPr>
    </w:p>
    <w:p w14:paraId="0A26A481"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Se integra por juicio civil en proceso de la empresa HEAL DIGITAL SYSTEMS S.A.P.I. DE C.V. sustentado por la revocación de la sentencia de fecha 31 de agosto del 2017 pronunciada en el expediente jurídico 1077/2013 al 30 de junio del presente ejercicio refleja un saldo de 62.0 millones de pesos.</w:t>
      </w:r>
    </w:p>
    <w:p w14:paraId="0781AE53"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1509683E" w14:textId="77777777" w:rsidR="00F74A9B" w:rsidRPr="00F74A9B" w:rsidRDefault="00F74A9B" w:rsidP="00F74A9B">
      <w:pPr>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lastRenderedPageBreak/>
        <w:drawing>
          <wp:inline distT="0" distB="0" distL="0" distR="0" wp14:anchorId="0040070A" wp14:editId="335AC7B3">
            <wp:extent cx="6331585" cy="182245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1822450"/>
                    </a:xfrm>
                    <a:prstGeom prst="rect">
                      <a:avLst/>
                    </a:prstGeom>
                    <a:noFill/>
                    <a:ln>
                      <a:noFill/>
                    </a:ln>
                  </pic:spPr>
                </pic:pic>
              </a:graphicData>
            </a:graphic>
          </wp:inline>
        </w:drawing>
      </w:r>
    </w:p>
    <w:p w14:paraId="24F0CDF2"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451971F7"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7C35DB48" w14:textId="77777777" w:rsidR="00F74A9B" w:rsidRPr="00F74A9B" w:rsidRDefault="00F74A9B" w:rsidP="00F74A9B">
      <w:pPr>
        <w:jc w:val="both"/>
        <w:rPr>
          <w:rFonts w:eastAsia="Calibri"/>
          <w:b/>
          <w:bCs/>
          <w:iCs w:val="0"/>
        </w:rPr>
      </w:pPr>
      <w:r w:rsidRPr="00F74A9B">
        <w:rPr>
          <w:rFonts w:eastAsia="Calibri"/>
          <w:b/>
          <w:bCs/>
          <w:iCs w:val="0"/>
        </w:rPr>
        <w:t>Bienes en concesionados o en comodato</w:t>
      </w:r>
    </w:p>
    <w:p w14:paraId="392A4F18" w14:textId="77777777" w:rsidR="00F74A9B" w:rsidRPr="00F74A9B" w:rsidRDefault="00F74A9B" w:rsidP="00F74A9B">
      <w:pPr>
        <w:autoSpaceDE w:val="0"/>
        <w:autoSpaceDN w:val="0"/>
        <w:adjustRightInd w:val="0"/>
        <w:jc w:val="both"/>
        <w:rPr>
          <w:rFonts w:eastAsia="Calibri" w:cs="Times New Roman"/>
          <w:b/>
          <w:i/>
          <w:iCs w:val="0"/>
          <w:szCs w:val="22"/>
          <w:lang w:val="es-MX" w:eastAsia="en-US"/>
        </w:rPr>
      </w:pPr>
    </w:p>
    <w:p w14:paraId="272921F7" w14:textId="77777777" w:rsidR="00F74A9B" w:rsidRPr="00F74A9B" w:rsidRDefault="00F74A9B" w:rsidP="00F74A9B">
      <w:pPr>
        <w:autoSpaceDE w:val="0"/>
        <w:autoSpaceDN w:val="0"/>
        <w:adjustRightInd w:val="0"/>
        <w:jc w:val="both"/>
        <w:rPr>
          <w:rFonts w:eastAsia="Calibri" w:cs="Times New Roman"/>
          <w:iCs w:val="0"/>
          <w:szCs w:val="22"/>
          <w:lang w:val="es-MX" w:eastAsia="en-US"/>
        </w:rPr>
      </w:pPr>
      <w:r w:rsidRPr="00F74A9B">
        <w:rPr>
          <w:rFonts w:eastAsia="Calibri" w:cs="Times New Roman"/>
          <w:iCs w:val="0"/>
          <w:szCs w:val="22"/>
          <w:lang w:val="es-MX" w:eastAsia="en-US"/>
        </w:rPr>
        <w:t xml:space="preserve">Los bienes en concesionados o en comodato al 30 de junio de 2023, ascienden a 3.1 millones de pesos correspondiente a bienes en concesión o en comodato del 2011, integrado por vehículos y equipos de transporte. </w:t>
      </w:r>
    </w:p>
    <w:p w14:paraId="7008B6D3" w14:textId="77777777" w:rsidR="00F74A9B" w:rsidRPr="00F74A9B" w:rsidRDefault="00F74A9B" w:rsidP="00F74A9B">
      <w:pPr>
        <w:autoSpaceDE w:val="0"/>
        <w:autoSpaceDN w:val="0"/>
        <w:adjustRightInd w:val="0"/>
        <w:jc w:val="both"/>
        <w:rPr>
          <w:rFonts w:eastAsia="Calibri" w:cs="Times New Roman"/>
          <w:iCs w:val="0"/>
          <w:szCs w:val="22"/>
          <w:lang w:val="es-MX" w:eastAsia="en-US"/>
        </w:rPr>
      </w:pPr>
    </w:p>
    <w:p w14:paraId="195AC267" w14:textId="77777777" w:rsidR="00F74A9B" w:rsidRPr="00F74A9B" w:rsidRDefault="00F74A9B" w:rsidP="00F74A9B">
      <w:pPr>
        <w:autoSpaceDE w:val="0"/>
        <w:autoSpaceDN w:val="0"/>
        <w:adjustRightInd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3CABF94B" wp14:editId="2C877D40">
            <wp:extent cx="6331585" cy="185864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858645"/>
                    </a:xfrm>
                    <a:prstGeom prst="rect">
                      <a:avLst/>
                    </a:prstGeom>
                    <a:noFill/>
                    <a:ln>
                      <a:noFill/>
                    </a:ln>
                  </pic:spPr>
                </pic:pic>
              </a:graphicData>
            </a:graphic>
          </wp:inline>
        </w:drawing>
      </w:r>
    </w:p>
    <w:p w14:paraId="49E0A5BC" w14:textId="77777777" w:rsidR="00F74A9B" w:rsidRPr="00F74A9B" w:rsidRDefault="00F74A9B" w:rsidP="00F74A9B">
      <w:pPr>
        <w:jc w:val="both"/>
        <w:outlineLvl w:val="0"/>
        <w:rPr>
          <w:rFonts w:eastAsia="Calibri" w:cs="Times New Roman"/>
          <w:b/>
          <w:bCs/>
          <w:iCs w:val="0"/>
          <w:szCs w:val="22"/>
          <w:lang w:val="es-MX" w:eastAsia="en-US"/>
        </w:rPr>
      </w:pPr>
    </w:p>
    <w:p w14:paraId="4A42FF9A" w14:textId="77777777" w:rsidR="00F74A9B" w:rsidRPr="00F74A9B" w:rsidRDefault="00F74A9B" w:rsidP="00F74A9B">
      <w:pPr>
        <w:jc w:val="both"/>
        <w:outlineLvl w:val="0"/>
        <w:rPr>
          <w:rFonts w:eastAsia="Calibri" w:cs="Times New Roman"/>
          <w:b/>
          <w:bCs/>
          <w:iCs w:val="0"/>
          <w:szCs w:val="22"/>
          <w:lang w:val="es-MX" w:eastAsia="en-US"/>
        </w:rPr>
      </w:pPr>
    </w:p>
    <w:p w14:paraId="07549CC7" w14:textId="77777777" w:rsidR="00F74A9B" w:rsidRPr="00F74A9B" w:rsidRDefault="00F74A9B" w:rsidP="00F74A9B">
      <w:pPr>
        <w:jc w:val="both"/>
        <w:rPr>
          <w:rFonts w:eastAsia="Calibri"/>
          <w:b/>
          <w:bCs/>
          <w:iCs w:val="0"/>
        </w:rPr>
      </w:pPr>
      <w:r w:rsidRPr="00F74A9B">
        <w:rPr>
          <w:rFonts w:eastAsia="Calibri"/>
          <w:b/>
          <w:bCs/>
          <w:iCs w:val="0"/>
        </w:rPr>
        <w:t>Cuentas de orden presupuestario</w:t>
      </w:r>
    </w:p>
    <w:p w14:paraId="540F2C00" w14:textId="77777777" w:rsidR="00F74A9B" w:rsidRPr="00F74A9B" w:rsidRDefault="00F74A9B" w:rsidP="00F74A9B">
      <w:pPr>
        <w:jc w:val="both"/>
        <w:rPr>
          <w:rFonts w:eastAsia="Calibri" w:cs="Times New Roman"/>
          <w:b/>
          <w:bCs/>
          <w:iCs w:val="0"/>
          <w:caps/>
          <w:color w:val="B09A5B"/>
          <w:szCs w:val="22"/>
          <w:lang w:val="es-MX" w:eastAsia="en-US"/>
        </w:rPr>
      </w:pPr>
    </w:p>
    <w:p w14:paraId="6517CE32" w14:textId="77777777" w:rsidR="00F74A9B" w:rsidRPr="00F74A9B" w:rsidRDefault="00F74A9B" w:rsidP="00F74A9B">
      <w:pPr>
        <w:jc w:val="both"/>
        <w:rPr>
          <w:rFonts w:eastAsia="Calibri"/>
          <w:b/>
          <w:bCs/>
          <w:iCs w:val="0"/>
        </w:rPr>
      </w:pPr>
      <w:r w:rsidRPr="00F74A9B">
        <w:rPr>
          <w:rFonts w:eastAsia="Calibri"/>
          <w:b/>
          <w:bCs/>
          <w:iCs w:val="0"/>
        </w:rPr>
        <w:t>Cuentas de ingresos</w:t>
      </w:r>
    </w:p>
    <w:p w14:paraId="5D4E37F8" w14:textId="77777777" w:rsidR="00F74A9B" w:rsidRPr="00F74A9B" w:rsidRDefault="00F74A9B" w:rsidP="00F74A9B">
      <w:pPr>
        <w:jc w:val="both"/>
        <w:rPr>
          <w:rFonts w:eastAsia="Calibri" w:cs="Times New Roman"/>
          <w:bCs/>
          <w:iCs w:val="0"/>
          <w:szCs w:val="22"/>
          <w:highlight w:val="yellow"/>
          <w:lang w:val="es-MX" w:eastAsia="en-US"/>
        </w:rPr>
      </w:pPr>
    </w:p>
    <w:p w14:paraId="1CC5FCD6"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Al inicio del ejercicio 2023, se aprobó un presupuesto de ingresos de 6 mil 680.6 millones de pesos, para las Instituciones Públicas de Seguridad Social.</w:t>
      </w:r>
    </w:p>
    <w:p w14:paraId="72816C1D" w14:textId="77777777" w:rsidR="00F74A9B" w:rsidRPr="00F74A9B" w:rsidRDefault="00F74A9B" w:rsidP="00F74A9B">
      <w:pPr>
        <w:jc w:val="both"/>
        <w:outlineLvl w:val="0"/>
        <w:rPr>
          <w:rFonts w:eastAsia="Calibri" w:cs="Times New Roman"/>
          <w:iCs w:val="0"/>
          <w:szCs w:val="22"/>
          <w:highlight w:val="yellow"/>
          <w:lang w:val="es-MX" w:eastAsia="en-US"/>
        </w:rPr>
      </w:pPr>
    </w:p>
    <w:p w14:paraId="6A1D9496" w14:textId="77777777" w:rsidR="00F74A9B" w:rsidRPr="00F74A9B" w:rsidRDefault="00F74A9B" w:rsidP="00F74A9B">
      <w:pPr>
        <w:jc w:val="both"/>
        <w:outlineLvl w:val="0"/>
        <w:rPr>
          <w:rFonts w:eastAsia="Calibri" w:cs="Times New Roman"/>
          <w:iCs w:val="0"/>
          <w:szCs w:val="22"/>
          <w:highlight w:val="yellow"/>
          <w:lang w:val="es-MX" w:eastAsia="en-US"/>
        </w:rPr>
      </w:pPr>
      <w:r w:rsidRPr="00F74A9B">
        <w:rPr>
          <w:rFonts w:eastAsia="Calibri" w:cs="Times New Roman"/>
          <w:iCs w:val="0"/>
          <w:szCs w:val="22"/>
          <w:lang w:val="es-MX" w:eastAsia="en-US"/>
        </w:rPr>
        <w:t>Los ingresos recaudados durante el periodo del 1 de enero al 30 de junio de 2023, ascendieron a cantidad de 2 mil 969.4 millones de pesos.</w:t>
      </w:r>
    </w:p>
    <w:p w14:paraId="0BDA28AB" w14:textId="77777777" w:rsidR="00F74A9B" w:rsidRPr="00F74A9B" w:rsidRDefault="00F74A9B" w:rsidP="00F74A9B">
      <w:pPr>
        <w:jc w:val="both"/>
        <w:outlineLvl w:val="0"/>
        <w:rPr>
          <w:rFonts w:eastAsia="Calibri" w:cs="Times New Roman"/>
          <w:b/>
          <w:bCs/>
          <w:iCs w:val="0"/>
          <w:szCs w:val="22"/>
          <w:highlight w:val="yellow"/>
          <w:lang w:val="es-MX" w:eastAsia="en-US"/>
        </w:rPr>
      </w:pPr>
    </w:p>
    <w:p w14:paraId="4B56EA5B"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Los ingresos derivados de recursos provenientes de las ministraciones radicadas del Gobierno estatal, representó el 42.4 % del total de los ingresos recaudados con un importe de 1 mil 260.0 millones de pesos, integrándose de 488.0 millones de pesos por  participaciones, aportaciones, convenios, incentivos derivados de la colaboración fiscal y fondos distintos de aportaciones y de 772.0 millones de pesos por concepto de transferencias, asignaciones, subsidios y subvenciones y pensiones y jubilaciones en diferentes fuentes de financiamiento con recursos del ejercicio, así como, el 52.2 % de cuotas y aportaciones de seguridad social registradas por el ISSTECH con un importe de 1 mil 549.4 millones de pesos, entre los rubros más relevantes.</w:t>
      </w:r>
    </w:p>
    <w:p w14:paraId="606994C6" w14:textId="77777777" w:rsidR="00F74A9B" w:rsidRPr="00F74A9B" w:rsidRDefault="00F74A9B" w:rsidP="00F74A9B">
      <w:pPr>
        <w:jc w:val="both"/>
        <w:outlineLvl w:val="0"/>
        <w:rPr>
          <w:rFonts w:eastAsia="Calibri" w:cs="Times New Roman"/>
          <w:iCs w:val="0"/>
          <w:szCs w:val="22"/>
          <w:lang w:val="es-MX" w:eastAsia="en-US"/>
        </w:rPr>
      </w:pPr>
    </w:p>
    <w:p w14:paraId="4D7D6976" w14:textId="476CD4DC"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A continuación, se presenta el estado analítico de ingresos presupuestarios de acuerdo de la clasificación indicada en las notas de memoria de los estados financieros emitidos por el CONAC.       </w:t>
      </w:r>
    </w:p>
    <w:p w14:paraId="5F43C588" w14:textId="77777777" w:rsidR="00F74A9B" w:rsidRPr="00F74A9B" w:rsidRDefault="00F74A9B" w:rsidP="00F74A9B">
      <w:pPr>
        <w:jc w:val="both"/>
        <w:rPr>
          <w:rFonts w:eastAsia="Calibri" w:cs="Times New Roman"/>
          <w:iCs w:val="0"/>
          <w:szCs w:val="22"/>
          <w:lang w:val="es-MX" w:eastAsia="en-US"/>
        </w:rPr>
      </w:pPr>
    </w:p>
    <w:p w14:paraId="45FDE14D" w14:textId="77777777" w:rsidR="00F74A9B" w:rsidRPr="00F74A9B" w:rsidRDefault="00F74A9B" w:rsidP="00F74A9B">
      <w:pPr>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lastRenderedPageBreak/>
        <w:drawing>
          <wp:inline distT="0" distB="0" distL="0" distR="0" wp14:anchorId="64DCD345" wp14:editId="06A1E1CD">
            <wp:extent cx="6331585" cy="298831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2988310"/>
                    </a:xfrm>
                    <a:prstGeom prst="rect">
                      <a:avLst/>
                    </a:prstGeom>
                    <a:noFill/>
                    <a:ln>
                      <a:noFill/>
                    </a:ln>
                  </pic:spPr>
                </pic:pic>
              </a:graphicData>
            </a:graphic>
          </wp:inline>
        </w:drawing>
      </w:r>
    </w:p>
    <w:p w14:paraId="37B91A38" w14:textId="77777777" w:rsidR="00F74A9B" w:rsidRPr="00F74A9B" w:rsidRDefault="00F74A9B" w:rsidP="00F74A9B">
      <w:pPr>
        <w:jc w:val="both"/>
        <w:rPr>
          <w:rFonts w:eastAsia="Calibri"/>
          <w:b/>
          <w:bCs/>
          <w:iCs w:val="0"/>
        </w:rPr>
      </w:pPr>
    </w:p>
    <w:p w14:paraId="532FA89D" w14:textId="77777777" w:rsidR="00F74A9B" w:rsidRPr="00F74A9B" w:rsidRDefault="00F74A9B" w:rsidP="00F74A9B">
      <w:pPr>
        <w:jc w:val="both"/>
        <w:rPr>
          <w:rFonts w:eastAsia="Calibri"/>
          <w:b/>
          <w:bCs/>
          <w:iCs w:val="0"/>
        </w:rPr>
      </w:pPr>
    </w:p>
    <w:p w14:paraId="666479CE" w14:textId="77777777" w:rsidR="00F74A9B" w:rsidRPr="00F74A9B" w:rsidRDefault="00F74A9B" w:rsidP="00F74A9B">
      <w:pPr>
        <w:jc w:val="both"/>
        <w:rPr>
          <w:rFonts w:eastAsia="Calibri"/>
          <w:b/>
          <w:bCs/>
          <w:iCs w:val="0"/>
        </w:rPr>
      </w:pPr>
      <w:r w:rsidRPr="00F74A9B">
        <w:rPr>
          <w:rFonts w:eastAsia="Calibri"/>
          <w:b/>
          <w:bCs/>
          <w:iCs w:val="0"/>
        </w:rPr>
        <w:t>Cuentas de egresos</w:t>
      </w:r>
    </w:p>
    <w:p w14:paraId="37A1CDD2" w14:textId="77777777" w:rsidR="00F74A9B" w:rsidRPr="00F74A9B" w:rsidRDefault="00F74A9B" w:rsidP="00F74A9B">
      <w:pPr>
        <w:jc w:val="both"/>
        <w:outlineLvl w:val="0"/>
        <w:rPr>
          <w:rFonts w:eastAsia="Calibri" w:cs="Times New Roman"/>
          <w:iCs w:val="0"/>
          <w:szCs w:val="22"/>
          <w:lang w:val="es-MX" w:eastAsia="en-US"/>
        </w:rPr>
      </w:pPr>
    </w:p>
    <w:p w14:paraId="5561C00A" w14:textId="77777777" w:rsidR="00F74A9B" w:rsidRPr="00F74A9B" w:rsidRDefault="00F74A9B" w:rsidP="00F74A9B">
      <w:pPr>
        <w:jc w:val="both"/>
        <w:outlineLvl w:val="0"/>
        <w:rPr>
          <w:rFonts w:eastAsia="Calibri" w:cs="Times New Roman"/>
          <w:iCs w:val="0"/>
          <w:szCs w:val="22"/>
          <w:lang w:val="es-MX" w:eastAsia="en-US"/>
        </w:rPr>
      </w:pPr>
      <w:r w:rsidRPr="00F74A9B">
        <w:rPr>
          <w:rFonts w:eastAsia="Calibri" w:cs="Times New Roman"/>
          <w:iCs w:val="0"/>
          <w:szCs w:val="22"/>
          <w:lang w:val="es-MX" w:eastAsia="en-US"/>
        </w:rPr>
        <w:t>El estado del ejercicio del presupuesto de egresos, refleja al 30 de junio del ejercicio 2023, el presupuesto aprobado anual por un monto de 6 mil 680.6 millones de pesos, al cierre del periodo que se informa.</w:t>
      </w:r>
    </w:p>
    <w:p w14:paraId="221115CD" w14:textId="77777777" w:rsidR="00F74A9B" w:rsidRPr="00F74A9B" w:rsidRDefault="00F74A9B" w:rsidP="00F74A9B">
      <w:pPr>
        <w:jc w:val="both"/>
        <w:outlineLvl w:val="0"/>
        <w:rPr>
          <w:rFonts w:eastAsia="Calibri" w:cs="Times New Roman"/>
          <w:b/>
          <w:bCs/>
          <w:iCs w:val="0"/>
          <w:szCs w:val="22"/>
          <w:lang w:val="es-MX" w:eastAsia="en-US"/>
        </w:rPr>
      </w:pPr>
    </w:p>
    <w:p w14:paraId="047E2EF8" w14:textId="77777777" w:rsidR="00F74A9B" w:rsidRPr="00F74A9B" w:rsidRDefault="00F74A9B" w:rsidP="00F74A9B">
      <w:pPr>
        <w:jc w:val="both"/>
        <w:outlineLvl w:val="0"/>
        <w:rPr>
          <w:rFonts w:eastAsia="Calibri" w:cs="Times New Roman"/>
          <w:iCs w:val="0"/>
          <w:color w:val="FF0000"/>
          <w:szCs w:val="22"/>
          <w:lang w:val="es-MX" w:eastAsia="en-US"/>
        </w:rPr>
      </w:pPr>
      <w:r w:rsidRPr="00F74A9B">
        <w:rPr>
          <w:rFonts w:eastAsia="Calibri" w:cs="Times New Roman"/>
          <w:iCs w:val="0"/>
          <w:szCs w:val="22"/>
          <w:lang w:val="es-MX" w:eastAsia="en-US"/>
        </w:rPr>
        <w:t>El presupuesto devengado a la fecha que se informa fue de 2 mil 593.0 millones de pesos, se compone con recursos del ejercicio; de los cuales se aplicaron 1 mil 824.6 millones de pesos en transferencias, asignaciones, subsidios y otras ayudas equivalente al 70.4 % del devengo total; así como 299.6 millones de pesos a servicios personales equivalente al 11.6 % del devengo total; la cifra de 194.2 millones de pesos por concepto de materiales y suministros, representando el 7.5 % del devengado total, así como 152.2 millones de pesos de inversiones financieras y otras provisiones, representando el 5.9 % del devengado total, entre los rubros más sobresalientes.</w:t>
      </w:r>
    </w:p>
    <w:p w14:paraId="77DC9D3B" w14:textId="77777777" w:rsidR="00F74A9B" w:rsidRPr="00F74A9B" w:rsidRDefault="00F74A9B" w:rsidP="00F74A9B">
      <w:pPr>
        <w:jc w:val="both"/>
        <w:outlineLvl w:val="0"/>
        <w:rPr>
          <w:rFonts w:eastAsia="Calibri" w:cs="Times New Roman"/>
          <w:b/>
          <w:bCs/>
          <w:iCs w:val="0"/>
          <w:szCs w:val="22"/>
          <w:lang w:val="es-MX" w:eastAsia="en-US"/>
        </w:rPr>
      </w:pPr>
    </w:p>
    <w:p w14:paraId="6588E907" w14:textId="77777777" w:rsidR="00F74A9B" w:rsidRPr="00F74A9B" w:rsidRDefault="00F74A9B" w:rsidP="00F74A9B">
      <w:pPr>
        <w:jc w:val="center"/>
        <w:outlineLvl w:val="0"/>
        <w:rPr>
          <w:rFonts w:eastAsia="Calibri" w:cs="Times New Roman"/>
          <w:b/>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0B601FE3" wp14:editId="01B3F39A">
            <wp:extent cx="6331585" cy="283337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833370"/>
                    </a:xfrm>
                    <a:prstGeom prst="rect">
                      <a:avLst/>
                    </a:prstGeom>
                    <a:noFill/>
                    <a:ln>
                      <a:noFill/>
                    </a:ln>
                  </pic:spPr>
                </pic:pic>
              </a:graphicData>
            </a:graphic>
          </wp:inline>
        </w:drawing>
      </w:r>
    </w:p>
    <w:p w14:paraId="5060907A" w14:textId="77777777" w:rsidR="00F74A9B" w:rsidRPr="00F74A9B" w:rsidRDefault="00F74A9B" w:rsidP="00F74A9B">
      <w:pPr>
        <w:jc w:val="both"/>
        <w:rPr>
          <w:rFonts w:eastAsia="Calibri" w:cs="Times New Roman"/>
          <w:b/>
          <w:bCs/>
          <w:iCs w:val="0"/>
          <w:caps/>
          <w:color w:val="B09A5B"/>
          <w:szCs w:val="22"/>
          <w:u w:val="single"/>
          <w:lang w:val="es-MX" w:eastAsia="en-US"/>
        </w:rPr>
      </w:pPr>
    </w:p>
    <w:p w14:paraId="2393777B" w14:textId="77777777" w:rsidR="00F74A9B" w:rsidRPr="00F74A9B" w:rsidRDefault="00F74A9B" w:rsidP="00F74A9B">
      <w:pPr>
        <w:jc w:val="both"/>
        <w:rPr>
          <w:rFonts w:eastAsia="Calibri" w:cs="Times New Roman"/>
          <w:b/>
          <w:bCs/>
          <w:iCs w:val="0"/>
          <w:caps/>
          <w:color w:val="B09A5B"/>
          <w:szCs w:val="22"/>
          <w:u w:val="single"/>
          <w:lang w:val="es-MX" w:eastAsia="en-US"/>
        </w:rPr>
      </w:pPr>
      <w:bookmarkStart w:id="4" w:name="_Hlk125467774"/>
    </w:p>
    <w:p w14:paraId="6B5B7762" w14:textId="77777777" w:rsidR="00F74A9B" w:rsidRPr="00F74A9B" w:rsidRDefault="00F74A9B" w:rsidP="00F74A9B">
      <w:pPr>
        <w:spacing w:after="160" w:line="259" w:lineRule="auto"/>
        <w:rPr>
          <w:rFonts w:eastAsia="Calibri"/>
          <w:b/>
          <w:bCs/>
          <w:iCs w:val="0"/>
        </w:rPr>
      </w:pPr>
      <w:r w:rsidRPr="00F74A9B">
        <w:rPr>
          <w:rFonts w:ascii="Calibri" w:eastAsia="Calibri" w:hAnsi="Calibri" w:cs="Times New Roman"/>
          <w:iCs w:val="0"/>
          <w:sz w:val="22"/>
          <w:szCs w:val="22"/>
          <w:lang w:val="es-MX" w:eastAsia="en-US"/>
        </w:rPr>
        <w:br w:type="page"/>
      </w:r>
    </w:p>
    <w:p w14:paraId="2EFFD24E" w14:textId="77777777" w:rsidR="00F74A9B" w:rsidRPr="00F74A9B" w:rsidRDefault="00F74A9B" w:rsidP="00F74A9B">
      <w:pPr>
        <w:jc w:val="both"/>
        <w:rPr>
          <w:rFonts w:eastAsia="Calibri"/>
          <w:b/>
          <w:bCs/>
          <w:iCs w:val="0"/>
        </w:rPr>
      </w:pPr>
      <w:r w:rsidRPr="00F74A9B">
        <w:rPr>
          <w:rFonts w:eastAsia="Calibri"/>
          <w:b/>
          <w:bCs/>
          <w:iCs w:val="0"/>
        </w:rPr>
        <w:lastRenderedPageBreak/>
        <w:t>Razones financieras</w:t>
      </w:r>
    </w:p>
    <w:p w14:paraId="2733BCCD" w14:textId="77777777" w:rsidR="00F74A9B" w:rsidRPr="00F74A9B" w:rsidRDefault="00F74A9B" w:rsidP="00F74A9B">
      <w:pPr>
        <w:tabs>
          <w:tab w:val="left" w:pos="5280"/>
        </w:tabs>
        <w:jc w:val="both"/>
        <w:rPr>
          <w:rFonts w:eastAsia="Calibri"/>
          <w:iCs w:val="0"/>
          <w:lang w:val="es-MX" w:eastAsia="en-US"/>
        </w:rPr>
      </w:pPr>
    </w:p>
    <w:bookmarkEnd w:id="4"/>
    <w:p w14:paraId="06DEBC5F"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30 de junio del ejercicio 2023, se aplicaron las siguientes razones financieras:</w:t>
      </w:r>
    </w:p>
    <w:p w14:paraId="29ED4F52" w14:textId="77777777" w:rsidR="00F74A9B" w:rsidRPr="00F74A9B" w:rsidRDefault="00F74A9B" w:rsidP="00F74A9B">
      <w:pPr>
        <w:autoSpaceDE w:val="0"/>
        <w:autoSpaceDN w:val="0"/>
        <w:adjustRightInd w:val="0"/>
        <w:jc w:val="both"/>
        <w:outlineLvl w:val="0"/>
        <w:rPr>
          <w:rFonts w:eastAsia="Calibri" w:cs="Times New Roman"/>
          <w:bCs/>
          <w:iCs w:val="0"/>
          <w:szCs w:val="22"/>
          <w:lang w:val="es-MX" w:eastAsia="en-US"/>
        </w:rPr>
      </w:pPr>
    </w:p>
    <w:p w14:paraId="1008C938" w14:textId="77777777" w:rsidR="00F74A9B" w:rsidRPr="00F74A9B" w:rsidRDefault="00F74A9B" w:rsidP="00F74A9B">
      <w:pPr>
        <w:autoSpaceDE w:val="0"/>
        <w:autoSpaceDN w:val="0"/>
        <w:adjustRightInd w:val="0"/>
        <w:jc w:val="center"/>
        <w:outlineLvl w:val="0"/>
        <w:rPr>
          <w:rFonts w:eastAsia="Calibri" w:cs="Times New Roman"/>
          <w:b/>
          <w:bCs/>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6F950DE5" wp14:editId="4442F7D0">
            <wp:extent cx="6331585" cy="238125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381250"/>
                    </a:xfrm>
                    <a:prstGeom prst="rect">
                      <a:avLst/>
                    </a:prstGeom>
                    <a:noFill/>
                    <a:ln>
                      <a:noFill/>
                    </a:ln>
                  </pic:spPr>
                </pic:pic>
              </a:graphicData>
            </a:graphic>
          </wp:inline>
        </w:drawing>
      </w:r>
    </w:p>
    <w:p w14:paraId="3C1C274F" w14:textId="77777777" w:rsidR="00F74A9B" w:rsidRPr="00F74A9B" w:rsidRDefault="00F74A9B" w:rsidP="00F74A9B">
      <w:pPr>
        <w:autoSpaceDE w:val="0"/>
        <w:autoSpaceDN w:val="0"/>
        <w:adjustRightInd w:val="0"/>
        <w:jc w:val="both"/>
        <w:outlineLvl w:val="0"/>
        <w:rPr>
          <w:rFonts w:eastAsia="Calibri" w:cs="Times New Roman"/>
          <w:bCs/>
          <w:iCs w:val="0"/>
          <w:szCs w:val="22"/>
          <w:lang w:val="es-MX" w:eastAsia="en-US"/>
        </w:rPr>
      </w:pPr>
    </w:p>
    <w:p w14:paraId="1F1CE3DC" w14:textId="77777777" w:rsidR="00F74A9B" w:rsidRPr="00F74A9B" w:rsidRDefault="00F74A9B" w:rsidP="00F74A9B">
      <w:pPr>
        <w:autoSpaceDE w:val="0"/>
        <w:autoSpaceDN w:val="0"/>
        <w:adjustRightInd w:val="0"/>
        <w:jc w:val="both"/>
        <w:outlineLvl w:val="0"/>
        <w:rPr>
          <w:rFonts w:eastAsia="Calibri" w:cs="Times New Roman"/>
          <w:bCs/>
          <w:iCs w:val="0"/>
          <w:szCs w:val="22"/>
          <w:lang w:val="es-MX" w:eastAsia="en-US"/>
        </w:rPr>
      </w:pPr>
    </w:p>
    <w:p w14:paraId="325E2073"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Los estados financieros muestran un resultado de 1.0 peso de </w:t>
      </w:r>
      <w:r w:rsidRPr="00F74A9B">
        <w:rPr>
          <w:rFonts w:eastAsia="Calibri" w:cs="Times New Roman"/>
          <w:b/>
          <w:iCs w:val="0"/>
          <w:szCs w:val="22"/>
          <w:lang w:val="es-MX" w:eastAsia="en-US"/>
        </w:rPr>
        <w:t>liquidez y disponibilidad inmediata</w:t>
      </w:r>
      <w:r w:rsidRPr="00F74A9B">
        <w:rPr>
          <w:rFonts w:eastAsia="Calibri" w:cs="Times New Roman"/>
          <w:iCs w:val="0"/>
          <w:szCs w:val="22"/>
          <w:lang w:val="es-MX" w:eastAsia="en-US"/>
        </w:rPr>
        <w:t xml:space="preserve"> para hacer frente a cada peso de los compromisos a corto plazo. </w:t>
      </w:r>
    </w:p>
    <w:p w14:paraId="600FB816"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p>
    <w:p w14:paraId="56161BCD"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 xml:space="preserve">La razón de </w:t>
      </w:r>
      <w:r w:rsidRPr="00F74A9B">
        <w:rPr>
          <w:rFonts w:eastAsia="Calibri" w:cs="Times New Roman"/>
          <w:b/>
          <w:iCs w:val="0"/>
          <w:szCs w:val="22"/>
          <w:lang w:val="es-MX" w:eastAsia="en-US"/>
        </w:rPr>
        <w:t>solvencia</w:t>
      </w:r>
      <w:r w:rsidRPr="00F74A9B">
        <w:rPr>
          <w:rFonts w:eastAsia="Calibri" w:cs="Times New Roman"/>
          <w:iCs w:val="0"/>
          <w:szCs w:val="22"/>
          <w:lang w:val="es-MX" w:eastAsia="en-US"/>
        </w:rPr>
        <w:t xml:space="preserve"> muestra que las entidades cuentan con 1.0 peso para cubrir cada peso que debe por sus compromisos a corto plazo. </w:t>
      </w:r>
    </w:p>
    <w:p w14:paraId="29357252"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p>
    <w:p w14:paraId="026F8E62"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La</w:t>
      </w:r>
      <w:r w:rsidRPr="00F74A9B">
        <w:rPr>
          <w:rFonts w:eastAsia="Calibri" w:cs="Times New Roman"/>
          <w:b/>
          <w:iCs w:val="0"/>
          <w:szCs w:val="22"/>
          <w:lang w:val="es-MX" w:eastAsia="en-US"/>
        </w:rPr>
        <w:t xml:space="preserve"> prueba del ácido</w:t>
      </w:r>
      <w:r w:rsidRPr="00F74A9B">
        <w:rPr>
          <w:rFonts w:eastAsia="Calibri" w:cs="Times New Roman"/>
          <w:iCs w:val="0"/>
          <w:szCs w:val="22"/>
          <w:lang w:val="es-MX" w:eastAsia="en-US"/>
        </w:rPr>
        <w:t xml:space="preserve"> indica que las entidades cuentan con 1.0 peso de activos de conversión inmediata en efectivo por cada peso de pasivos a corto plazo. </w:t>
      </w:r>
    </w:p>
    <w:p w14:paraId="0CB5E9DF"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p>
    <w:p w14:paraId="39D9C032" w14:textId="77777777" w:rsidR="00F74A9B" w:rsidRPr="00F74A9B" w:rsidRDefault="00F74A9B" w:rsidP="00F74A9B">
      <w:pPr>
        <w:autoSpaceDE w:val="0"/>
        <w:autoSpaceDN w:val="0"/>
        <w:adjustRightInd w:val="0"/>
        <w:jc w:val="both"/>
        <w:outlineLvl w:val="0"/>
        <w:rPr>
          <w:rFonts w:eastAsia="Calibri" w:cs="Times New Roman"/>
          <w:iCs w:val="0"/>
          <w:szCs w:val="22"/>
          <w:lang w:val="es-MX" w:eastAsia="en-US"/>
        </w:rPr>
      </w:pPr>
      <w:r w:rsidRPr="00F74A9B">
        <w:rPr>
          <w:rFonts w:eastAsia="Calibri" w:cs="Times New Roman"/>
          <w:iCs w:val="0"/>
          <w:szCs w:val="22"/>
          <w:lang w:val="es-MX" w:eastAsia="en-US"/>
        </w:rPr>
        <w:t>La posición financiera que guardan las Instituciones Públicas de Seguridad Social muestra los ingresos y egresos al 30 de junio del ejercicio 2023.</w:t>
      </w:r>
    </w:p>
    <w:p w14:paraId="71AF00C3" w14:textId="77777777" w:rsidR="00F74A9B" w:rsidRPr="00F74A9B" w:rsidRDefault="00F74A9B" w:rsidP="00F74A9B">
      <w:pPr>
        <w:jc w:val="both"/>
        <w:rPr>
          <w:rFonts w:eastAsia="Calibri" w:cs="Times New Roman"/>
          <w:iCs w:val="0"/>
          <w:szCs w:val="22"/>
          <w:lang w:val="es-MX" w:eastAsia="en-US"/>
        </w:rPr>
      </w:pPr>
      <w:r w:rsidRPr="00F74A9B">
        <w:rPr>
          <w:rFonts w:eastAsia="Calibri" w:cs="Times New Roman"/>
          <w:iCs w:val="0"/>
          <w:szCs w:val="22"/>
          <w:lang w:val="es-MX" w:eastAsia="en-US"/>
        </w:rPr>
        <w:br w:type="page"/>
      </w:r>
    </w:p>
    <w:p w14:paraId="61BD3C1D" w14:textId="77777777" w:rsidR="00F74A9B" w:rsidRPr="00F74A9B" w:rsidRDefault="00F74A9B" w:rsidP="00F74A9B">
      <w:pPr>
        <w:keepNext/>
        <w:keepLines/>
        <w:jc w:val="both"/>
        <w:outlineLvl w:val="0"/>
        <w:rPr>
          <w:rFonts w:cs="Times New Roman"/>
          <w:b/>
          <w:iCs w:val="0"/>
          <w:color w:val="9E213D"/>
          <w:sz w:val="28"/>
          <w:szCs w:val="32"/>
        </w:rPr>
      </w:pPr>
      <w:bookmarkStart w:id="5" w:name="_Hlk125467787"/>
      <w:r w:rsidRPr="00F74A9B">
        <w:rPr>
          <w:rFonts w:cs="Times New Roman"/>
          <w:b/>
          <w:iCs w:val="0"/>
          <w:color w:val="9E213D"/>
          <w:sz w:val="28"/>
          <w:szCs w:val="32"/>
        </w:rPr>
        <w:lastRenderedPageBreak/>
        <w:t>Reporte analítico del activo no circulante</w:t>
      </w:r>
    </w:p>
    <w:p w14:paraId="33B8075E" w14:textId="77777777" w:rsidR="00F74A9B" w:rsidRPr="00F74A9B" w:rsidRDefault="00F74A9B" w:rsidP="00F74A9B">
      <w:pPr>
        <w:widowControl w:val="0"/>
        <w:jc w:val="both"/>
        <w:rPr>
          <w:rFonts w:eastAsia="Calibri"/>
          <w:iCs w:val="0"/>
          <w:lang w:val="es-MX" w:eastAsia="en-US"/>
        </w:rPr>
      </w:pPr>
    </w:p>
    <w:bookmarkEnd w:id="5"/>
    <w:p w14:paraId="35FF6B07" w14:textId="7DCD9702" w:rsidR="00F74A9B" w:rsidRPr="00F74A9B" w:rsidRDefault="00F74A9B" w:rsidP="00F74A9B">
      <w:pPr>
        <w:widowControl w:val="0"/>
        <w:jc w:val="both"/>
        <w:rPr>
          <w:rFonts w:eastAsia="Calibri" w:cs="Times New Roman"/>
          <w:iCs w:val="0"/>
          <w:szCs w:val="22"/>
          <w:lang w:val="es-MX" w:eastAsia="en-US"/>
        </w:rPr>
      </w:pPr>
      <w:r w:rsidRPr="00F74A9B">
        <w:rPr>
          <w:rFonts w:eastAsia="Calibri" w:cs="Times New Roman"/>
          <w:iCs w:val="0"/>
          <w:szCs w:val="22"/>
          <w:lang w:val="es-MX" w:eastAsia="en-US"/>
        </w:rPr>
        <w:t xml:space="preserve">A </w:t>
      </w:r>
      <w:r w:rsidR="00406EF6" w:rsidRPr="00F74A9B">
        <w:rPr>
          <w:rFonts w:eastAsia="Calibri" w:cs="Times New Roman"/>
          <w:iCs w:val="0"/>
          <w:szCs w:val="22"/>
          <w:lang w:val="es-MX" w:eastAsia="en-US"/>
        </w:rPr>
        <w:t>continuación,</w:t>
      </w:r>
      <w:r w:rsidRPr="00F74A9B">
        <w:rPr>
          <w:rFonts w:eastAsia="Calibri" w:cs="Times New Roman"/>
          <w:iCs w:val="0"/>
          <w:szCs w:val="22"/>
          <w:lang w:val="es-MX" w:eastAsia="en-US"/>
        </w:rPr>
        <w:t xml:space="preserve"> se presentan los saldos por tipo de activo no circulante registrado en los estados financieros consolidados al periodo que se informa. Este reporte muestra el total de las adquisiciones que integran su patrimonio.</w:t>
      </w:r>
    </w:p>
    <w:p w14:paraId="22B9C921" w14:textId="77777777" w:rsidR="00F74A9B" w:rsidRPr="00F74A9B" w:rsidRDefault="00F74A9B" w:rsidP="00F74A9B">
      <w:pPr>
        <w:widowControl w:val="0"/>
        <w:rPr>
          <w:rFonts w:eastAsia="Calibri" w:cs="Times New Roman"/>
          <w:iCs w:val="0"/>
          <w:szCs w:val="22"/>
          <w:lang w:val="es-MX" w:eastAsia="en-US"/>
        </w:rPr>
      </w:pPr>
    </w:p>
    <w:p w14:paraId="4C65CBCF" w14:textId="77777777" w:rsidR="00F74A9B" w:rsidRPr="00F74A9B" w:rsidRDefault="00F74A9B" w:rsidP="00F74A9B">
      <w:pPr>
        <w:widowControl w:val="0"/>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5829CD70" wp14:editId="56BB2A96">
            <wp:extent cx="6331585" cy="163068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630680"/>
                    </a:xfrm>
                    <a:prstGeom prst="rect">
                      <a:avLst/>
                    </a:prstGeom>
                    <a:noFill/>
                    <a:ln>
                      <a:noFill/>
                    </a:ln>
                  </pic:spPr>
                </pic:pic>
              </a:graphicData>
            </a:graphic>
          </wp:inline>
        </w:drawing>
      </w:r>
    </w:p>
    <w:p w14:paraId="78488F59" w14:textId="77777777" w:rsidR="00F74A9B" w:rsidRPr="00F74A9B" w:rsidRDefault="00F74A9B" w:rsidP="00F74A9B">
      <w:pPr>
        <w:rPr>
          <w:rFonts w:eastAsia="Calibri" w:cs="Times New Roman"/>
          <w:b/>
          <w:bCs/>
          <w:iCs w:val="0"/>
          <w:szCs w:val="22"/>
          <w:lang w:val="es-MX" w:eastAsia="en-US"/>
        </w:rPr>
      </w:pPr>
    </w:p>
    <w:p w14:paraId="12B050A8" w14:textId="77777777" w:rsidR="00F74A9B" w:rsidRPr="00F74A9B" w:rsidRDefault="00F74A9B" w:rsidP="00F74A9B">
      <w:pPr>
        <w:rPr>
          <w:rFonts w:eastAsia="Calibri" w:cs="Times New Roman"/>
          <w:iCs w:val="0"/>
          <w:noProof/>
          <w:szCs w:val="22"/>
          <w:lang w:val="es-MX" w:eastAsia="es-MX"/>
        </w:rPr>
      </w:pPr>
    </w:p>
    <w:p w14:paraId="1112F24F" w14:textId="77777777" w:rsidR="00F74A9B" w:rsidRPr="00F74A9B" w:rsidRDefault="00F74A9B" w:rsidP="00F74A9B">
      <w:pPr>
        <w:rPr>
          <w:rFonts w:eastAsia="Calibri" w:cs="Times New Roman"/>
          <w:iCs w:val="0"/>
          <w:noProof/>
          <w:szCs w:val="22"/>
          <w:lang w:val="es-MX" w:eastAsia="es-MX"/>
        </w:rPr>
      </w:pPr>
    </w:p>
    <w:p w14:paraId="1EE679CC" w14:textId="77777777" w:rsidR="00F74A9B" w:rsidRPr="00F74A9B" w:rsidRDefault="00F74A9B" w:rsidP="00F74A9B">
      <w:pPr>
        <w:jc w:val="center"/>
        <w:rPr>
          <w:rFonts w:eastAsia="Calibri" w:cs="Times New Roman"/>
          <w:iCs w:val="0"/>
          <w:noProof/>
          <w:szCs w:val="22"/>
          <w:lang w:val="es-MX" w:eastAsia="es-MX"/>
        </w:rPr>
      </w:pPr>
      <w:r w:rsidRPr="00F74A9B">
        <w:rPr>
          <w:rFonts w:ascii="Calibri" w:eastAsia="Calibri" w:hAnsi="Calibri" w:cs="Times New Roman"/>
          <w:iCs w:val="0"/>
          <w:sz w:val="22"/>
          <w:szCs w:val="22"/>
          <w:lang w:val="es-MX" w:eastAsia="en-US"/>
        </w:rPr>
        <w:drawing>
          <wp:inline distT="0" distB="0" distL="0" distR="0" wp14:anchorId="655DA1B8" wp14:editId="5411F8E4">
            <wp:extent cx="6331585" cy="175006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750060"/>
                    </a:xfrm>
                    <a:prstGeom prst="rect">
                      <a:avLst/>
                    </a:prstGeom>
                    <a:noFill/>
                    <a:ln>
                      <a:noFill/>
                    </a:ln>
                  </pic:spPr>
                </pic:pic>
              </a:graphicData>
            </a:graphic>
          </wp:inline>
        </w:drawing>
      </w:r>
    </w:p>
    <w:p w14:paraId="0ADB4A53" w14:textId="77777777" w:rsidR="00F74A9B" w:rsidRPr="00F74A9B" w:rsidRDefault="00F74A9B" w:rsidP="00F74A9B">
      <w:pPr>
        <w:rPr>
          <w:rFonts w:eastAsia="Calibri" w:cs="Times New Roman"/>
          <w:iCs w:val="0"/>
          <w:noProof/>
          <w:szCs w:val="22"/>
          <w:lang w:val="es-MX" w:eastAsia="es-MX"/>
        </w:rPr>
      </w:pPr>
    </w:p>
    <w:p w14:paraId="19BF0302" w14:textId="77777777" w:rsidR="00F74A9B" w:rsidRPr="00F74A9B" w:rsidRDefault="00F74A9B" w:rsidP="00F74A9B">
      <w:pPr>
        <w:rPr>
          <w:rFonts w:eastAsia="Calibri" w:cs="Times New Roman"/>
          <w:iCs w:val="0"/>
          <w:noProof/>
          <w:szCs w:val="22"/>
          <w:lang w:val="es-MX" w:eastAsia="es-MX"/>
        </w:rPr>
      </w:pPr>
    </w:p>
    <w:p w14:paraId="4FE327B0" w14:textId="77777777" w:rsidR="00F74A9B" w:rsidRPr="00F74A9B" w:rsidRDefault="00F74A9B" w:rsidP="00F74A9B">
      <w:pPr>
        <w:rPr>
          <w:rFonts w:eastAsia="Calibri" w:cs="Times New Roman"/>
          <w:iCs w:val="0"/>
          <w:noProof/>
          <w:szCs w:val="22"/>
          <w:lang w:val="es-MX" w:eastAsia="es-MX"/>
        </w:rPr>
      </w:pPr>
    </w:p>
    <w:p w14:paraId="58765B1C" w14:textId="77777777" w:rsidR="00F74A9B" w:rsidRPr="00F74A9B" w:rsidRDefault="00F74A9B" w:rsidP="00F74A9B">
      <w:pPr>
        <w:jc w:val="center"/>
        <w:rPr>
          <w:rFonts w:eastAsia="Calibri" w:cs="Times New Roman"/>
          <w:iCs w:val="0"/>
          <w:noProof/>
          <w:szCs w:val="22"/>
          <w:lang w:val="es-MX" w:eastAsia="es-MX"/>
        </w:rPr>
      </w:pPr>
      <w:r w:rsidRPr="00F74A9B">
        <w:rPr>
          <w:rFonts w:ascii="Calibri" w:eastAsia="Calibri" w:hAnsi="Calibri" w:cs="Times New Roman"/>
          <w:iCs w:val="0"/>
          <w:sz w:val="22"/>
          <w:szCs w:val="22"/>
          <w:lang w:val="es-MX" w:eastAsia="en-US"/>
        </w:rPr>
        <w:drawing>
          <wp:inline distT="0" distB="0" distL="0" distR="0" wp14:anchorId="508635FE" wp14:editId="47D23215">
            <wp:extent cx="6331585" cy="157861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578610"/>
                    </a:xfrm>
                    <a:prstGeom prst="rect">
                      <a:avLst/>
                    </a:prstGeom>
                    <a:noFill/>
                    <a:ln>
                      <a:noFill/>
                    </a:ln>
                  </pic:spPr>
                </pic:pic>
              </a:graphicData>
            </a:graphic>
          </wp:inline>
        </w:drawing>
      </w:r>
    </w:p>
    <w:p w14:paraId="4F9228A6" w14:textId="77777777" w:rsidR="00F74A9B" w:rsidRPr="00F74A9B" w:rsidRDefault="00F74A9B" w:rsidP="00F74A9B">
      <w:pPr>
        <w:rPr>
          <w:rFonts w:eastAsia="Calibri" w:cs="Times New Roman"/>
          <w:iCs w:val="0"/>
          <w:noProof/>
          <w:szCs w:val="22"/>
          <w:lang w:val="es-MX" w:eastAsia="es-MX"/>
        </w:rPr>
      </w:pPr>
    </w:p>
    <w:p w14:paraId="352E3C3A" w14:textId="77777777" w:rsidR="00F74A9B" w:rsidRPr="00F74A9B" w:rsidRDefault="00F74A9B" w:rsidP="00F74A9B">
      <w:pPr>
        <w:rPr>
          <w:rFonts w:eastAsia="Calibri" w:cs="Times New Roman"/>
          <w:iCs w:val="0"/>
          <w:noProof/>
          <w:szCs w:val="22"/>
          <w:lang w:val="es-MX" w:eastAsia="es-MX"/>
        </w:rPr>
      </w:pPr>
    </w:p>
    <w:p w14:paraId="49C94154" w14:textId="77777777" w:rsidR="00F74A9B" w:rsidRPr="00F74A9B" w:rsidRDefault="00F74A9B" w:rsidP="00F74A9B">
      <w:pPr>
        <w:rPr>
          <w:rFonts w:eastAsia="Calibri" w:cs="Times New Roman"/>
          <w:iCs w:val="0"/>
          <w:noProof/>
          <w:szCs w:val="22"/>
          <w:lang w:val="es-MX" w:eastAsia="es-MX"/>
        </w:rPr>
      </w:pPr>
    </w:p>
    <w:p w14:paraId="48DC1F90" w14:textId="77777777" w:rsidR="00F74A9B" w:rsidRPr="00F74A9B" w:rsidRDefault="00F74A9B" w:rsidP="00F74A9B">
      <w:pPr>
        <w:jc w:val="center"/>
        <w:rPr>
          <w:rFonts w:eastAsia="Calibri" w:cs="Times New Roman"/>
          <w:iCs w:val="0"/>
          <w:noProof/>
          <w:szCs w:val="22"/>
          <w:lang w:val="es-MX" w:eastAsia="es-MX"/>
        </w:rPr>
      </w:pPr>
      <w:r w:rsidRPr="00F74A9B">
        <w:rPr>
          <w:rFonts w:ascii="Calibri" w:eastAsia="Calibri" w:hAnsi="Calibri" w:cs="Times New Roman"/>
          <w:iCs w:val="0"/>
          <w:sz w:val="22"/>
          <w:szCs w:val="22"/>
          <w:lang w:val="es-MX" w:eastAsia="en-US"/>
        </w:rPr>
        <w:drawing>
          <wp:inline distT="0" distB="0" distL="0" distR="0" wp14:anchorId="65D81D2D" wp14:editId="2EE4477A">
            <wp:extent cx="6331585" cy="1190625"/>
            <wp:effectExtent l="0" t="0" r="0"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190625"/>
                    </a:xfrm>
                    <a:prstGeom prst="rect">
                      <a:avLst/>
                    </a:prstGeom>
                    <a:noFill/>
                    <a:ln>
                      <a:noFill/>
                    </a:ln>
                  </pic:spPr>
                </pic:pic>
              </a:graphicData>
            </a:graphic>
          </wp:inline>
        </w:drawing>
      </w:r>
    </w:p>
    <w:p w14:paraId="3FB3AE4E" w14:textId="77777777" w:rsidR="00F74A9B" w:rsidRPr="00F74A9B" w:rsidRDefault="00F74A9B" w:rsidP="00F74A9B">
      <w:pPr>
        <w:rPr>
          <w:rFonts w:eastAsia="Calibri" w:cs="Times New Roman"/>
          <w:iCs w:val="0"/>
          <w:noProof/>
          <w:szCs w:val="22"/>
          <w:lang w:val="es-MX" w:eastAsia="es-MX"/>
        </w:rPr>
      </w:pPr>
    </w:p>
    <w:p w14:paraId="6B32BBC0" w14:textId="77777777" w:rsidR="00F74A9B" w:rsidRPr="00F74A9B" w:rsidRDefault="00F74A9B" w:rsidP="00F74A9B">
      <w:pPr>
        <w:rPr>
          <w:rFonts w:eastAsia="Calibri" w:cs="Times New Roman"/>
          <w:iCs w:val="0"/>
          <w:noProof/>
          <w:szCs w:val="22"/>
          <w:lang w:val="es-MX" w:eastAsia="es-MX"/>
        </w:rPr>
      </w:pPr>
    </w:p>
    <w:p w14:paraId="1459B7A7" w14:textId="77777777" w:rsidR="00F74A9B" w:rsidRPr="00F74A9B" w:rsidRDefault="00F74A9B" w:rsidP="00F74A9B">
      <w:pPr>
        <w:rPr>
          <w:rFonts w:eastAsia="Calibri" w:cs="Times New Roman"/>
          <w:iCs w:val="0"/>
          <w:noProof/>
          <w:szCs w:val="22"/>
          <w:lang w:val="es-MX" w:eastAsia="es-MX"/>
        </w:rPr>
      </w:pPr>
    </w:p>
    <w:p w14:paraId="50E741BB" w14:textId="77777777" w:rsidR="00F74A9B" w:rsidRPr="00F74A9B" w:rsidRDefault="00F74A9B" w:rsidP="00F74A9B">
      <w:pPr>
        <w:jc w:val="center"/>
        <w:rPr>
          <w:rFonts w:eastAsia="Calibri" w:cs="Times New Roman"/>
          <w:iCs w:val="0"/>
          <w:szCs w:val="22"/>
          <w:lang w:val="es-MX" w:eastAsia="en-US"/>
        </w:rPr>
      </w:pPr>
      <w:r w:rsidRPr="00F74A9B">
        <w:rPr>
          <w:rFonts w:ascii="Calibri" w:eastAsia="Calibri" w:hAnsi="Calibri" w:cs="Times New Roman"/>
          <w:iCs w:val="0"/>
          <w:sz w:val="22"/>
          <w:szCs w:val="22"/>
          <w:lang w:val="es-MX" w:eastAsia="en-US"/>
        </w:rPr>
        <w:drawing>
          <wp:inline distT="0" distB="0" distL="0" distR="0" wp14:anchorId="0696DE07" wp14:editId="64D069B0">
            <wp:extent cx="6331585" cy="180086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800860"/>
                    </a:xfrm>
                    <a:prstGeom prst="rect">
                      <a:avLst/>
                    </a:prstGeom>
                    <a:noFill/>
                    <a:ln>
                      <a:noFill/>
                    </a:ln>
                  </pic:spPr>
                </pic:pic>
              </a:graphicData>
            </a:graphic>
          </wp:inline>
        </w:drawing>
      </w:r>
    </w:p>
    <w:p w14:paraId="52D18863" w14:textId="77777777" w:rsidR="00F74A9B" w:rsidRPr="00F74A9B" w:rsidRDefault="00F74A9B" w:rsidP="00F74A9B">
      <w:pPr>
        <w:rPr>
          <w:rFonts w:eastAsia="Calibri" w:cs="Times New Roman"/>
          <w:iCs w:val="0"/>
          <w:szCs w:val="22"/>
          <w:lang w:val="es-MX" w:eastAsia="en-US"/>
        </w:rPr>
      </w:pPr>
    </w:p>
    <w:p w14:paraId="4B6A158E" w14:textId="77777777" w:rsidR="00F74A9B" w:rsidRPr="00F74A9B" w:rsidRDefault="00F74A9B" w:rsidP="00F74A9B">
      <w:pPr>
        <w:jc w:val="both"/>
        <w:rPr>
          <w:bCs/>
        </w:rPr>
      </w:pPr>
    </w:p>
    <w:p w14:paraId="3FC9CF63" w14:textId="77777777" w:rsidR="00F74A9B" w:rsidRPr="00F74A9B" w:rsidRDefault="00F74A9B" w:rsidP="00F74A9B">
      <w:pPr>
        <w:rPr>
          <w:rFonts w:eastAsia="Arial"/>
        </w:rPr>
      </w:pPr>
    </w:p>
    <w:p w14:paraId="221413E4" w14:textId="77777777" w:rsidR="00B1066E" w:rsidRDefault="00B1066E" w:rsidP="00292E65">
      <w:pPr>
        <w:jc w:val="both"/>
      </w:pPr>
    </w:p>
    <w:sectPr w:rsidR="00B1066E" w:rsidSect="006E7DD1">
      <w:headerReference w:type="default" r:id="rId43"/>
      <w:footerReference w:type="even" r:id="rId44"/>
      <w:footerReference w:type="default" r:id="rId45"/>
      <w:headerReference w:type="first" r:id="rId46"/>
      <w:footerReference w:type="first" r:id="rId4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6692" w14:textId="77777777" w:rsidR="00073C60" w:rsidRDefault="00073C60">
      <w:r>
        <w:separator/>
      </w:r>
    </w:p>
  </w:endnote>
  <w:endnote w:type="continuationSeparator" w:id="0">
    <w:p w14:paraId="513BF135" w14:textId="77777777" w:rsidR="00073C60" w:rsidRDefault="000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00000007"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ED61"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EF617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E564" w14:textId="77777777" w:rsidR="004119E4" w:rsidRPr="00F74A9B"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F74A9B">
      <w:rPr>
        <w:rFonts w:ascii="HelveticaNeueLT Std Lt" w:eastAsia="Kozuka Gothic Pro B" w:hAnsi="HelveticaNeueLT Std Lt"/>
        <w:color w:val="FFFFFF"/>
        <w:sz w:val="22"/>
        <w:szCs w:val="22"/>
        <w:lang w:val="es-MX"/>
      </w:rPr>
      <w:fldChar w:fldCharType="begin"/>
    </w:r>
    <w:r w:rsidRPr="00F74A9B">
      <w:rPr>
        <w:rFonts w:ascii="HelveticaNeueLT Std Lt" w:eastAsia="Kozuka Gothic Pro B" w:hAnsi="HelveticaNeueLT Std Lt"/>
        <w:color w:val="FFFFFF"/>
        <w:sz w:val="22"/>
        <w:szCs w:val="22"/>
        <w:lang w:val="es-MX"/>
      </w:rPr>
      <w:instrText xml:space="preserve">PAGE  </w:instrText>
    </w:r>
    <w:r w:rsidRPr="00F74A9B">
      <w:rPr>
        <w:rFonts w:ascii="HelveticaNeueLT Std Lt" w:eastAsia="Kozuka Gothic Pro B" w:hAnsi="HelveticaNeueLT Std Lt"/>
        <w:color w:val="FFFFFF"/>
        <w:sz w:val="22"/>
        <w:szCs w:val="22"/>
        <w:lang w:val="es-MX"/>
      </w:rPr>
      <w:fldChar w:fldCharType="separate"/>
    </w:r>
    <w:r w:rsidR="005A1E24" w:rsidRPr="00F74A9B">
      <w:rPr>
        <w:rFonts w:ascii="HelveticaNeueLT Std Lt" w:eastAsia="Kozuka Gothic Pro B" w:hAnsi="HelveticaNeueLT Std Lt"/>
        <w:noProof/>
        <w:color w:val="FFFFFF"/>
        <w:sz w:val="22"/>
        <w:szCs w:val="22"/>
        <w:lang w:val="es-MX"/>
      </w:rPr>
      <w:t>15</w:t>
    </w:r>
    <w:r w:rsidRPr="00F74A9B">
      <w:rPr>
        <w:rFonts w:ascii="HelveticaNeueLT Std Lt" w:eastAsia="Kozuka Gothic Pro B" w:hAnsi="HelveticaNeueLT Std Lt"/>
        <w:color w:val="FFFFFF"/>
        <w:sz w:val="22"/>
        <w:szCs w:val="22"/>
        <w:lang w:val="es-MX"/>
      </w:rPr>
      <w:fldChar w:fldCharType="end"/>
    </w:r>
  </w:p>
  <w:p w14:paraId="2273100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BB5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41E949B8" wp14:editId="2DBDF4FB">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B6C128E" wp14:editId="2C10B57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80E7504" wp14:editId="7DABEBA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77D21CA" wp14:editId="2686296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03EF719F" wp14:editId="13E69763">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0EA3" w14:textId="77777777" w:rsidR="00073C60" w:rsidRDefault="00073C60">
      <w:r>
        <w:separator/>
      </w:r>
    </w:p>
  </w:footnote>
  <w:footnote w:type="continuationSeparator" w:id="0">
    <w:p w14:paraId="1AE33BBA" w14:textId="77777777" w:rsidR="00073C60" w:rsidRDefault="0007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359"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E4FBDDC" wp14:editId="14337A9D">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4788F"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5F1F212" w14:textId="230EF0C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B3CAB">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D12BED">
                            <w:rPr>
                              <w:rFonts w:ascii="HelveticaNeueLT Std Lt" w:eastAsia="Kozuka Gothic Pro B" w:hAnsi="HelveticaNeueLT Std Lt"/>
                              <w:lang w:val="es-MX"/>
                            </w:rPr>
                            <w:t>3</w:t>
                          </w:r>
                        </w:p>
                        <w:p w14:paraId="6DE07A7F"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FBDDC"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46E4788F"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45F1F212" w14:textId="230EF0C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B3CAB">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D12BED">
                      <w:rPr>
                        <w:rFonts w:ascii="HelveticaNeueLT Std Lt" w:eastAsia="Kozuka Gothic Pro B" w:hAnsi="HelveticaNeueLT Std Lt"/>
                        <w:lang w:val="es-MX"/>
                      </w:rPr>
                      <w:t>3</w:t>
                    </w:r>
                  </w:p>
                  <w:p w14:paraId="6DE07A7F"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5F39CC6" wp14:editId="3DD2133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E2144AA" w14:textId="77777777" w:rsidR="004119E4" w:rsidRDefault="004119E4" w:rsidP="00BF6032">
    <w:pPr>
      <w:pStyle w:val="Encabezado"/>
      <w:tabs>
        <w:tab w:val="left" w:pos="4860"/>
      </w:tabs>
      <w:ind w:right="846"/>
      <w:jc w:val="right"/>
      <w:rPr>
        <w:rFonts w:ascii="Romana BT" w:hAnsi="Romana BT"/>
        <w:b/>
        <w:sz w:val="16"/>
        <w:szCs w:val="16"/>
      </w:rPr>
    </w:pPr>
  </w:p>
  <w:p w14:paraId="4D540499"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BBB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3F375901" wp14:editId="495E4E2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3C60"/>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186D"/>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3C9D"/>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2E65"/>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83D"/>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06EF6"/>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1E24"/>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5B5F"/>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0FC3"/>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066E"/>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17A4"/>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2BED"/>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4A9B"/>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E51"/>
    <w:rsid w:val="00FD2F4E"/>
    <w:rsid w:val="00FD5184"/>
    <w:rsid w:val="00FD621E"/>
    <w:rsid w:val="00FD716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13AAAA14"/>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A89A-75F4-4071-A25D-8AAE46E9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2023-08-14T20:22:00Z</cp:lastPrinted>
  <dcterms:created xsi:type="dcterms:W3CDTF">2023-08-14T20:23:00Z</dcterms:created>
  <dcterms:modified xsi:type="dcterms:W3CDTF">2023-08-14T20:23:00Z</dcterms:modified>
</cp:coreProperties>
</file>