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87" w:rsidRPr="003C21DF" w:rsidRDefault="00CC5F87" w:rsidP="00CC5F87">
      <w:pPr>
        <w:shd w:val="clear" w:color="FFFFFF" w:fill="E6E6E6"/>
        <w:jc w:val="center"/>
        <w:rPr>
          <w:b/>
          <w:bCs/>
          <w:caps/>
          <w:sz w:val="6"/>
          <w:szCs w:val="6"/>
        </w:rPr>
      </w:pPr>
    </w:p>
    <w:p w:rsidR="00CC5F87" w:rsidRPr="003434BB" w:rsidRDefault="00CC5F87" w:rsidP="00CC5F87">
      <w:pPr>
        <w:shd w:val="clear" w:color="FFFFFF" w:fill="E6E6E6"/>
        <w:jc w:val="center"/>
        <w:rPr>
          <w:b/>
          <w:bCs/>
          <w:caps/>
        </w:rPr>
      </w:pPr>
      <w:r w:rsidRPr="003434BB">
        <w:rPr>
          <w:b/>
          <w:bCs/>
          <w:caps/>
        </w:rPr>
        <w:t>NOTAS A LOS ESTADOS FINANCIEROS CONSOLIDADOS</w:t>
      </w:r>
    </w:p>
    <w:p w:rsidR="00CC5F87" w:rsidRPr="003C21DF" w:rsidRDefault="00CC5F87" w:rsidP="00CC5F87">
      <w:pPr>
        <w:shd w:val="clear" w:color="auto" w:fill="BFBFBF" w:themeFill="background1" w:themeFillShade="BF"/>
        <w:jc w:val="center"/>
        <w:rPr>
          <w:b/>
          <w:bCs/>
          <w:caps/>
          <w:sz w:val="6"/>
          <w:szCs w:val="6"/>
        </w:rPr>
      </w:pPr>
    </w:p>
    <w:p w:rsidR="00CC5F87" w:rsidRDefault="00CC5F87" w:rsidP="00CC5F87">
      <w:pPr>
        <w:outlineLvl w:val="0"/>
      </w:pPr>
    </w:p>
    <w:p w:rsidR="0075582F" w:rsidRDefault="0075582F" w:rsidP="0075582F">
      <w:pPr>
        <w:ind w:right="567"/>
        <w:jc w:val="both"/>
        <w:rPr>
          <w:bCs/>
        </w:rPr>
      </w:pPr>
      <w:r>
        <w:rPr>
          <w:bCs/>
        </w:rPr>
        <w:t>De conformidad al artículo 46, fracción I, inciso e)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30 de junio de 2021, con los siguientes apartados:</w:t>
      </w:r>
    </w:p>
    <w:p w:rsidR="0075582F" w:rsidRDefault="0075582F" w:rsidP="0075582F">
      <w:pPr>
        <w:ind w:right="567"/>
        <w:jc w:val="both"/>
        <w:rPr>
          <w:bCs/>
        </w:rPr>
      </w:pPr>
    </w:p>
    <w:p w:rsidR="0075582F" w:rsidRPr="005C4689" w:rsidRDefault="0075582F" w:rsidP="0075582F">
      <w:pPr>
        <w:pStyle w:val="Prrafodelista"/>
        <w:numPr>
          <w:ilvl w:val="0"/>
          <w:numId w:val="8"/>
        </w:numPr>
        <w:spacing w:after="120"/>
        <w:ind w:left="357" w:hanging="357"/>
        <w:contextualSpacing w:val="0"/>
        <w:rPr>
          <w:rFonts w:ascii="Arial" w:hAnsi="Arial"/>
          <w:bCs/>
          <w:caps/>
          <w:sz w:val="20"/>
          <w:szCs w:val="20"/>
        </w:rPr>
      </w:pPr>
      <w:r>
        <w:rPr>
          <w:rFonts w:ascii="Arial" w:hAnsi="Arial"/>
          <w:bCs/>
          <w:sz w:val="20"/>
          <w:szCs w:val="20"/>
        </w:rPr>
        <w:t>Notas de Desglose</w:t>
      </w:r>
    </w:p>
    <w:p w:rsidR="0075582F" w:rsidRPr="005C4689" w:rsidRDefault="0075582F" w:rsidP="0075582F">
      <w:pPr>
        <w:pStyle w:val="Prrafodelista"/>
        <w:numPr>
          <w:ilvl w:val="0"/>
          <w:numId w:val="8"/>
        </w:numPr>
        <w:spacing w:after="120"/>
        <w:ind w:left="357" w:hanging="357"/>
        <w:contextualSpacing w:val="0"/>
        <w:jc w:val="both"/>
        <w:rPr>
          <w:rFonts w:ascii="Arial" w:hAnsi="Arial"/>
          <w:bCs/>
          <w:caps/>
          <w:sz w:val="20"/>
          <w:szCs w:val="20"/>
        </w:rPr>
      </w:pPr>
      <w:r>
        <w:rPr>
          <w:rFonts w:ascii="Arial" w:hAnsi="Arial"/>
          <w:bCs/>
          <w:sz w:val="20"/>
          <w:szCs w:val="20"/>
        </w:rPr>
        <w:t>Notas de Memoria (Cuentas de Orden), y</w:t>
      </w:r>
    </w:p>
    <w:p w:rsidR="0075582F" w:rsidRPr="005C4689" w:rsidRDefault="0075582F" w:rsidP="0075582F">
      <w:pPr>
        <w:pStyle w:val="Prrafodelista"/>
        <w:numPr>
          <w:ilvl w:val="0"/>
          <w:numId w:val="8"/>
        </w:numPr>
        <w:spacing w:after="120"/>
        <w:ind w:left="357" w:hanging="357"/>
        <w:contextualSpacing w:val="0"/>
        <w:rPr>
          <w:rFonts w:ascii="Arial" w:hAnsi="Arial"/>
          <w:bCs/>
          <w:caps/>
          <w:sz w:val="20"/>
          <w:szCs w:val="20"/>
        </w:rPr>
      </w:pPr>
      <w:r>
        <w:rPr>
          <w:rFonts w:ascii="Arial" w:hAnsi="Arial"/>
          <w:bCs/>
          <w:sz w:val="20"/>
          <w:szCs w:val="20"/>
        </w:rPr>
        <w:t>Notas de Gestión Administrativa</w:t>
      </w:r>
    </w:p>
    <w:p w:rsidR="0075582F" w:rsidRDefault="0075582F" w:rsidP="0075582F">
      <w:pPr>
        <w:ind w:right="567"/>
        <w:rPr>
          <w:bCs/>
          <w:caps/>
        </w:rPr>
      </w:pPr>
    </w:p>
    <w:p w:rsidR="0075582F" w:rsidRDefault="0075582F" w:rsidP="0075582F">
      <w:pPr>
        <w:ind w:right="567"/>
        <w:jc w:val="both"/>
        <w:rPr>
          <w:b/>
          <w:bCs/>
          <w:caps/>
        </w:rPr>
      </w:pPr>
      <w:r>
        <w:rPr>
          <w:bCs/>
        </w:rPr>
        <w:t>Las cifras mostradas al 30 de junio de 2021,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reforma del 27 de septiembre de 2018 y última reforma del 23 de diciembre de 2020.</w:t>
      </w:r>
    </w:p>
    <w:p w:rsidR="0075582F" w:rsidRDefault="0075582F" w:rsidP="0075582F">
      <w:pPr>
        <w:jc w:val="both"/>
        <w:rPr>
          <w:b/>
          <w:bCs/>
          <w:caps/>
        </w:rPr>
      </w:pPr>
    </w:p>
    <w:p w:rsidR="0075582F" w:rsidRDefault="0075582F" w:rsidP="0075582F">
      <w:pPr>
        <w:jc w:val="both"/>
        <w:rPr>
          <w:b/>
          <w:bCs/>
          <w:caps/>
        </w:rPr>
      </w:pPr>
    </w:p>
    <w:p w:rsidR="0075582F" w:rsidRPr="009C6450" w:rsidRDefault="0075582F" w:rsidP="0075582F">
      <w:pPr>
        <w:ind w:left="567" w:right="567"/>
        <w:jc w:val="center"/>
        <w:rPr>
          <w:b/>
          <w:bCs/>
          <w:caps/>
        </w:rPr>
      </w:pPr>
      <w:r w:rsidRPr="009C6450">
        <w:rPr>
          <w:b/>
          <w:bCs/>
          <w:caps/>
        </w:rPr>
        <w:t xml:space="preserve">NOTAS de desglose </w:t>
      </w:r>
    </w:p>
    <w:p w:rsidR="0075582F" w:rsidRPr="009C6450" w:rsidRDefault="0075582F" w:rsidP="0075582F">
      <w:pPr>
        <w:outlineLvl w:val="0"/>
        <w:rPr>
          <w:b/>
          <w:bCs/>
        </w:rPr>
      </w:pPr>
    </w:p>
    <w:p w:rsidR="0075582F" w:rsidRPr="009C6450" w:rsidRDefault="0075582F" w:rsidP="0075582F">
      <w:pPr>
        <w:pBdr>
          <w:bottom w:val="single" w:sz="12" w:space="1" w:color="BFBFBF" w:themeColor="background1" w:themeShade="BF"/>
        </w:pBdr>
        <w:ind w:left="2835" w:right="2835"/>
        <w:jc w:val="center"/>
        <w:rPr>
          <w:b/>
          <w:bCs/>
          <w:caps/>
        </w:rPr>
      </w:pPr>
      <w:r w:rsidRPr="009C6450">
        <w:rPr>
          <w:b/>
          <w:bCs/>
          <w:caps/>
        </w:rPr>
        <w:t>AL ESTADO DE SITUACIÓN FINANCIERA</w:t>
      </w:r>
    </w:p>
    <w:p w:rsidR="0075582F" w:rsidRPr="009C6450" w:rsidRDefault="0075582F" w:rsidP="0075582F">
      <w:pPr>
        <w:outlineLvl w:val="0"/>
        <w:rPr>
          <w:b/>
          <w:bCs/>
        </w:rPr>
      </w:pPr>
    </w:p>
    <w:p w:rsidR="0075582F" w:rsidRPr="009C6450" w:rsidRDefault="0075582F" w:rsidP="0075582F">
      <w:pPr>
        <w:pBdr>
          <w:bottom w:val="single" w:sz="4" w:space="1" w:color="auto"/>
        </w:pBdr>
        <w:jc w:val="both"/>
        <w:rPr>
          <w:b/>
          <w:bCs/>
        </w:rPr>
      </w:pPr>
      <w:r w:rsidRPr="009C6450">
        <w:rPr>
          <w:b/>
          <w:bCs/>
        </w:rPr>
        <w:t>ACTIVO</w:t>
      </w:r>
    </w:p>
    <w:p w:rsidR="0075582F" w:rsidRPr="009C6450" w:rsidRDefault="0075582F" w:rsidP="0075582F">
      <w:pPr>
        <w:jc w:val="both"/>
      </w:pPr>
    </w:p>
    <w:p w:rsidR="0075582F" w:rsidRPr="009C6450" w:rsidRDefault="0075582F" w:rsidP="0075582F">
      <w:pPr>
        <w:jc w:val="both"/>
      </w:pPr>
      <w:r w:rsidRPr="009C6450">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rsidR="0075582F" w:rsidRPr="009C6450" w:rsidRDefault="0075582F" w:rsidP="0075582F">
      <w:pPr>
        <w:jc w:val="both"/>
        <w:outlineLvl w:val="0"/>
        <w:rPr>
          <w:b/>
          <w:bCs/>
        </w:rPr>
      </w:pPr>
    </w:p>
    <w:p w:rsidR="0075582F" w:rsidRPr="009C6450" w:rsidRDefault="0075582F" w:rsidP="0075582F">
      <w:pPr>
        <w:autoSpaceDE w:val="0"/>
        <w:autoSpaceDN w:val="0"/>
        <w:adjustRightInd w:val="0"/>
        <w:spacing w:after="60"/>
        <w:jc w:val="both"/>
        <w:rPr>
          <w:b/>
          <w:bCs/>
        </w:rPr>
      </w:pPr>
      <w:r w:rsidRPr="009C6450">
        <w:rPr>
          <w:b/>
          <w:bCs/>
        </w:rPr>
        <w:t>Circulante</w:t>
      </w:r>
    </w:p>
    <w:p w:rsidR="0075582F" w:rsidRPr="009C6450" w:rsidRDefault="0075582F" w:rsidP="0075582F">
      <w:pPr>
        <w:pBdr>
          <w:top w:val="single" w:sz="4" w:space="1" w:color="C0C0C0"/>
        </w:pBdr>
        <w:autoSpaceDE w:val="0"/>
        <w:autoSpaceDN w:val="0"/>
        <w:adjustRightInd w:val="0"/>
        <w:jc w:val="center"/>
        <w:rPr>
          <w:b/>
          <w:bCs/>
        </w:rPr>
      </w:pPr>
    </w:p>
    <w:p w:rsidR="0075582F" w:rsidRPr="009C6450" w:rsidRDefault="0075582F" w:rsidP="0075582F">
      <w:pPr>
        <w:pBdr>
          <w:top w:val="single" w:sz="4" w:space="1" w:color="C0C0C0"/>
        </w:pBdr>
        <w:autoSpaceDE w:val="0"/>
        <w:autoSpaceDN w:val="0"/>
        <w:adjustRightInd w:val="0"/>
        <w:jc w:val="center"/>
        <w:rPr>
          <w:b/>
          <w:bCs/>
        </w:rPr>
      </w:pPr>
      <w:r>
        <w:rPr>
          <w:noProof/>
          <w:lang w:eastAsia="es-MX"/>
        </w:rPr>
        <w:drawing>
          <wp:inline distT="0" distB="0" distL="0" distR="0" wp14:anchorId="52F0E7FB" wp14:editId="7F005954">
            <wp:extent cx="6692265" cy="2596515"/>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5582F" w:rsidRDefault="0075582F" w:rsidP="0075582F">
      <w:pPr>
        <w:outlineLvl w:val="0"/>
        <w:rPr>
          <w:b/>
          <w:bCs/>
          <w:i/>
          <w:iCs w:val="0"/>
        </w:rPr>
      </w:pPr>
    </w:p>
    <w:p w:rsidR="0075582F" w:rsidRDefault="0075582F" w:rsidP="0075582F">
      <w:pPr>
        <w:outlineLvl w:val="0"/>
        <w:rPr>
          <w:b/>
          <w:bCs/>
          <w:i/>
          <w:iCs w:val="0"/>
        </w:rPr>
      </w:pPr>
    </w:p>
    <w:p w:rsidR="0075582F" w:rsidRPr="009C6450" w:rsidRDefault="0075582F" w:rsidP="0075582F">
      <w:pPr>
        <w:outlineLvl w:val="0"/>
        <w:rPr>
          <w:b/>
          <w:bCs/>
          <w:i/>
          <w:iCs w:val="0"/>
        </w:rPr>
      </w:pPr>
      <w:r w:rsidRPr="009C6450">
        <w:rPr>
          <w:b/>
          <w:bCs/>
          <w:i/>
        </w:rPr>
        <w:t>Efectivo y Equivalentes</w:t>
      </w:r>
    </w:p>
    <w:p w:rsidR="0075582F" w:rsidRPr="009C6450" w:rsidRDefault="0075582F" w:rsidP="0075582F">
      <w:pPr>
        <w:outlineLvl w:val="0"/>
        <w:rPr>
          <w:b/>
          <w:bCs/>
          <w:i/>
          <w:iCs w:val="0"/>
        </w:rPr>
      </w:pPr>
    </w:p>
    <w:p w:rsidR="0075582F" w:rsidRPr="009C6450" w:rsidRDefault="0075582F" w:rsidP="0075582F">
      <w:pPr>
        <w:autoSpaceDE w:val="0"/>
        <w:autoSpaceDN w:val="0"/>
        <w:adjustRightInd w:val="0"/>
        <w:jc w:val="both"/>
      </w:pPr>
      <w:r w:rsidRPr="009C6450">
        <w:t>El rubro de efectivo y equivalentes al 3</w:t>
      </w:r>
      <w:r>
        <w:t>0</w:t>
      </w:r>
      <w:r w:rsidRPr="009C6450">
        <w:t xml:space="preserve"> de </w:t>
      </w:r>
      <w:r>
        <w:t xml:space="preserve">junio </w:t>
      </w:r>
      <w:r w:rsidRPr="009C6450">
        <w:t>de 202</w:t>
      </w:r>
      <w:r>
        <w:t>1</w:t>
      </w:r>
      <w:r w:rsidRPr="009C6450">
        <w:t xml:space="preserve">, asciende a un monto de </w:t>
      </w:r>
      <w:r>
        <w:t>173.3</w:t>
      </w:r>
      <w:r w:rsidRPr="009C6450">
        <w:t xml:space="preserve"> millones de pesos, y representa el </w:t>
      </w:r>
      <w:r>
        <w:t>64.3</w:t>
      </w:r>
      <w:r w:rsidRPr="009C6450">
        <w:t xml:space="preserve"> por ciento del activo circulante, se integra principalmente de la disponibilidad financiera para cubrir los compromisos de pago a proveedores y prestadores de servicios, así como, impuestos retenidos, sueldos y recursos colocados en inversiones.</w:t>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both"/>
      </w:pPr>
      <w:r w:rsidRPr="009C6450">
        <w:lastRenderedPageBreak/>
        <w:t>Asimismo, se registra en este rubro lo siguiente:</w:t>
      </w:r>
    </w:p>
    <w:p w:rsidR="0075582F" w:rsidRPr="009C6450" w:rsidRDefault="0075582F" w:rsidP="0075582F">
      <w:pPr>
        <w:autoSpaceDE w:val="0"/>
        <w:autoSpaceDN w:val="0"/>
        <w:adjustRightInd w:val="0"/>
        <w:jc w:val="both"/>
      </w:pPr>
    </w:p>
    <w:p w:rsidR="0075582F" w:rsidRPr="009C6450" w:rsidRDefault="0075582F" w:rsidP="0075582F">
      <w:pPr>
        <w:pStyle w:val="Prrafodelista"/>
        <w:numPr>
          <w:ilvl w:val="0"/>
          <w:numId w:val="2"/>
        </w:numPr>
        <w:spacing w:after="120"/>
        <w:ind w:left="357" w:hanging="357"/>
        <w:contextualSpacing w:val="0"/>
        <w:jc w:val="both"/>
        <w:rPr>
          <w:rFonts w:ascii="Arial" w:eastAsia="MS Mincho" w:hAnsi="Arial"/>
          <w:sz w:val="20"/>
          <w:szCs w:val="20"/>
        </w:rPr>
      </w:pPr>
      <w:r w:rsidRPr="009C6450">
        <w:rPr>
          <w:rFonts w:ascii="Arial" w:eastAsia="MS Mincho" w:hAnsi="Arial"/>
          <w:sz w:val="20"/>
          <w:szCs w:val="20"/>
        </w:rPr>
        <w:t>Los ingresos obtenidos en las actividades propias de las Entidades Paraestatales no Financieras con Participación Estatal Mayoritaria.</w:t>
      </w:r>
    </w:p>
    <w:p w:rsidR="0075582F" w:rsidRPr="009C6450" w:rsidRDefault="0075582F" w:rsidP="0075582F">
      <w:pPr>
        <w:pStyle w:val="Prrafodelista"/>
        <w:numPr>
          <w:ilvl w:val="0"/>
          <w:numId w:val="2"/>
        </w:numPr>
        <w:spacing w:after="120"/>
        <w:ind w:left="357" w:hanging="357"/>
        <w:contextualSpacing w:val="0"/>
        <w:jc w:val="both"/>
        <w:rPr>
          <w:rFonts w:ascii="Arial" w:eastAsia="MS Mincho" w:hAnsi="Arial"/>
          <w:sz w:val="20"/>
          <w:szCs w:val="20"/>
        </w:rPr>
      </w:pPr>
      <w:r w:rsidRPr="009C6450">
        <w:rPr>
          <w:rFonts w:ascii="Arial" w:eastAsia="MS Mincho" w:hAnsi="Arial"/>
          <w:sz w:val="20"/>
          <w:szCs w:val="20"/>
        </w:rPr>
        <w:t>Depósitos otorgados a terceros por servicios básicos y técnicos especializados.</w:t>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both"/>
      </w:pPr>
      <w:r w:rsidRPr="009C6450">
        <w:t>Este rubro refleja los recursos de mayor liquidez, que son totalmente convertibles en importes determinados en efectivo sujeto a un riesgo mínimo de su valor, los cuales se encuentran disponibles por solventar gastos de operación y de inversión, y que incide en el patrimonio de las Entidades Paraestatales Empresariales no Financieras con Participación Estatal Mayoritaria.</w:t>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center"/>
      </w:pPr>
      <w:r w:rsidRPr="00F2512B">
        <w:rPr>
          <w:noProof/>
          <w:lang w:eastAsia="es-MX"/>
        </w:rPr>
        <w:drawing>
          <wp:inline distT="0" distB="0" distL="0" distR="0" wp14:anchorId="4B6FEC51" wp14:editId="1FC9C28F">
            <wp:extent cx="6124575" cy="131445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Derechos a Recibir Efectivo o Equivalentes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autoSpaceDE w:val="0"/>
        <w:autoSpaceDN w:val="0"/>
        <w:adjustRightInd w:val="0"/>
        <w:jc w:val="both"/>
      </w:pPr>
      <w:r w:rsidRPr="009C6450">
        <w:t>Este rubro del activo se compone por los deudores por prestación de servicios de arrendamiento de inmuebles y locales, gastos a comprobar, recursos por concepto de subsidio al empleo e Impuestos a favor: ISR Arrendamiento e IVA.</w:t>
      </w:r>
    </w:p>
    <w:p w:rsidR="0075582F" w:rsidRPr="009C6450" w:rsidRDefault="0075582F" w:rsidP="0075582F">
      <w:pPr>
        <w:autoSpaceDE w:val="0"/>
        <w:autoSpaceDN w:val="0"/>
        <w:adjustRightInd w:val="0"/>
        <w:jc w:val="both"/>
        <w:rPr>
          <w:highlight w:val="yellow"/>
        </w:rPr>
      </w:pPr>
    </w:p>
    <w:p w:rsidR="0075582F" w:rsidRPr="009C6450" w:rsidRDefault="0075582F" w:rsidP="0075582F">
      <w:pPr>
        <w:tabs>
          <w:tab w:val="left" w:pos="1418"/>
        </w:tabs>
        <w:autoSpaceDE w:val="0"/>
        <w:autoSpaceDN w:val="0"/>
        <w:adjustRightInd w:val="0"/>
        <w:jc w:val="both"/>
      </w:pPr>
      <w:r w:rsidRPr="009C6450">
        <w:t xml:space="preserve">En su totalidad este rubro asciende a </w:t>
      </w:r>
      <w:r>
        <w:t xml:space="preserve">83.8 </w:t>
      </w:r>
      <w:r w:rsidRPr="009C6450">
        <w:t xml:space="preserve">millones de pesos y representa el </w:t>
      </w:r>
      <w:r>
        <w:t>31.3</w:t>
      </w:r>
      <w:r w:rsidRPr="009C6450">
        <w:t xml:space="preserve"> por ciento del activo circulante.</w:t>
      </w:r>
    </w:p>
    <w:p w:rsidR="0075582F" w:rsidRPr="009C6450" w:rsidRDefault="0075582F" w:rsidP="0075582F">
      <w:pPr>
        <w:tabs>
          <w:tab w:val="left" w:pos="1418"/>
        </w:tabs>
        <w:autoSpaceDE w:val="0"/>
        <w:autoSpaceDN w:val="0"/>
        <w:adjustRightInd w:val="0"/>
        <w:jc w:val="both"/>
        <w:rPr>
          <w:b/>
        </w:rPr>
      </w:pPr>
    </w:p>
    <w:p w:rsidR="0075582F" w:rsidRPr="009C6450" w:rsidRDefault="0075582F" w:rsidP="0075582F">
      <w:pPr>
        <w:autoSpaceDE w:val="0"/>
        <w:autoSpaceDN w:val="0"/>
        <w:adjustRightInd w:val="0"/>
        <w:jc w:val="center"/>
      </w:pPr>
      <w:r w:rsidRPr="00F2512B">
        <w:rPr>
          <w:noProof/>
          <w:lang w:eastAsia="es-MX"/>
        </w:rPr>
        <w:drawing>
          <wp:inline distT="0" distB="0" distL="0" distR="0" wp14:anchorId="1A39A757" wp14:editId="30D581B5">
            <wp:extent cx="6124575" cy="13144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both"/>
      </w:pPr>
    </w:p>
    <w:p w:rsidR="0075582F" w:rsidRPr="009C6450" w:rsidRDefault="0075582F" w:rsidP="0075582F">
      <w:pPr>
        <w:tabs>
          <w:tab w:val="left" w:pos="1418"/>
        </w:tabs>
        <w:autoSpaceDE w:val="0"/>
        <w:autoSpaceDN w:val="0"/>
        <w:adjustRightInd w:val="0"/>
        <w:jc w:val="both"/>
        <w:rPr>
          <w:b/>
          <w:i/>
        </w:rPr>
      </w:pPr>
      <w:r w:rsidRPr="009C6450">
        <w:rPr>
          <w:b/>
          <w:i/>
        </w:rPr>
        <w:t>Derechos a Recibir Bienes o Servicios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pPr>
      <w:r w:rsidRPr="009C6450">
        <w:t xml:space="preserve">El saldo por </w:t>
      </w:r>
      <w:r>
        <w:t>8.0</w:t>
      </w:r>
      <w:r w:rsidRPr="009C6450">
        <w:t xml:space="preserve"> millones de pesos, de los derechos a recibir bienes o servicios, corresponden a los anticipos otorgados a contratistas para la ejecución de obras; así como, a los anticipos por la adquisición de bienes muebles y prestación de servicios de las Entidades Paraestatales Empresariales no Financieras con Participación Estatal Mayoritaria; respecto al activo circulante representa el </w:t>
      </w:r>
      <w:r>
        <w:t>3.0</w:t>
      </w:r>
      <w:r w:rsidRPr="009C6450">
        <w:t xml:space="preserve"> por ciento.</w:t>
      </w:r>
    </w:p>
    <w:p w:rsidR="0075582F" w:rsidRPr="009C6450" w:rsidRDefault="0075582F" w:rsidP="0075582F">
      <w:pPr>
        <w:tabs>
          <w:tab w:val="left" w:pos="1418"/>
        </w:tabs>
        <w:autoSpaceDE w:val="0"/>
        <w:autoSpaceDN w:val="0"/>
        <w:adjustRightInd w:val="0"/>
        <w:jc w:val="both"/>
      </w:pPr>
    </w:p>
    <w:p w:rsidR="0075582F" w:rsidRPr="009C6450" w:rsidRDefault="0075582F" w:rsidP="0075582F">
      <w:pPr>
        <w:tabs>
          <w:tab w:val="left" w:pos="1418"/>
        </w:tabs>
        <w:autoSpaceDE w:val="0"/>
        <w:autoSpaceDN w:val="0"/>
        <w:adjustRightInd w:val="0"/>
        <w:jc w:val="center"/>
      </w:pPr>
      <w:r w:rsidRPr="00F2512B">
        <w:rPr>
          <w:noProof/>
          <w:lang w:eastAsia="es-MX"/>
        </w:rPr>
        <w:drawing>
          <wp:inline distT="0" distB="0" distL="0" distR="0" wp14:anchorId="09DDD313" wp14:editId="1DF73CF9">
            <wp:extent cx="6124575" cy="115252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Default="0075582F" w:rsidP="0075582F">
      <w:pPr>
        <w:tabs>
          <w:tab w:val="left" w:pos="1418"/>
        </w:tabs>
        <w:autoSpaceDE w:val="0"/>
        <w:autoSpaceDN w:val="0"/>
        <w:adjustRightInd w:val="0"/>
        <w:jc w:val="both"/>
        <w:rPr>
          <w:b/>
          <w:i/>
        </w:rPr>
      </w:pPr>
    </w:p>
    <w:p w:rsidR="007D0586" w:rsidRPr="009C6450" w:rsidRDefault="007D0586"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lastRenderedPageBreak/>
        <w:t>Inventarios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autoSpaceDE w:val="0"/>
        <w:autoSpaceDN w:val="0"/>
        <w:adjustRightInd w:val="0"/>
        <w:jc w:val="both"/>
        <w:rPr>
          <w:lang w:eastAsia="es-MX"/>
        </w:rPr>
      </w:pPr>
      <w:r w:rsidRPr="009C6450">
        <w:rPr>
          <w:lang w:eastAsia="es-MX"/>
        </w:rPr>
        <w:t>Al 3</w:t>
      </w:r>
      <w:r>
        <w:rPr>
          <w:lang w:eastAsia="es-MX"/>
        </w:rPr>
        <w:t>0</w:t>
      </w:r>
      <w:r w:rsidRPr="009C6450">
        <w:rPr>
          <w:lang w:eastAsia="es-MX"/>
        </w:rPr>
        <w:t xml:space="preserve"> de </w:t>
      </w:r>
      <w:r>
        <w:rPr>
          <w:lang w:eastAsia="es-MX"/>
        </w:rPr>
        <w:t xml:space="preserve">junio </w:t>
      </w:r>
      <w:r w:rsidRPr="009C6450">
        <w:rPr>
          <w:lang w:eastAsia="es-MX"/>
        </w:rPr>
        <w:t>de 202</w:t>
      </w:r>
      <w:r>
        <w:rPr>
          <w:lang w:eastAsia="es-MX"/>
        </w:rPr>
        <w:t>1</w:t>
      </w:r>
      <w:r w:rsidRPr="009C6450">
        <w:rPr>
          <w:lang w:eastAsia="es-MX"/>
        </w:rPr>
        <w:t xml:space="preserve">, este rubro de inventarios asciende a </w:t>
      </w:r>
      <w:r>
        <w:rPr>
          <w:lang w:eastAsia="es-MX"/>
        </w:rPr>
        <w:t>1.2</w:t>
      </w:r>
      <w:r w:rsidRPr="009C6450">
        <w:rPr>
          <w:lang w:eastAsia="es-MX"/>
        </w:rPr>
        <w:t xml:space="preserve"> millones de pesos, refleja la materia prima para llevar a cabo la elaboración de productos </w:t>
      </w:r>
      <w:r w:rsidRPr="009C6450">
        <w:t>y pendiente de ser entregada por los proveedores, representa el 0.</w:t>
      </w:r>
      <w:r>
        <w:t>5</w:t>
      </w:r>
      <w:r w:rsidRPr="009C6450">
        <w:t xml:space="preserve"> por ciento del activo circulante.</w:t>
      </w:r>
    </w:p>
    <w:p w:rsidR="0075582F" w:rsidRPr="009C6450" w:rsidRDefault="0075582F" w:rsidP="0075582F">
      <w:pPr>
        <w:autoSpaceDE w:val="0"/>
        <w:autoSpaceDN w:val="0"/>
        <w:adjustRightInd w:val="0"/>
        <w:jc w:val="both"/>
        <w:rPr>
          <w:lang w:eastAsia="es-MX"/>
        </w:rPr>
      </w:pPr>
    </w:p>
    <w:p w:rsidR="0075582F" w:rsidRPr="009C6450" w:rsidRDefault="0075582F" w:rsidP="0075582F">
      <w:pPr>
        <w:autoSpaceDE w:val="0"/>
        <w:autoSpaceDN w:val="0"/>
        <w:adjustRightInd w:val="0"/>
        <w:jc w:val="center"/>
        <w:rPr>
          <w:lang w:eastAsia="es-MX"/>
        </w:rPr>
      </w:pPr>
      <w:r w:rsidRPr="00F2512B">
        <w:rPr>
          <w:noProof/>
          <w:lang w:eastAsia="es-MX"/>
        </w:rPr>
        <w:drawing>
          <wp:inline distT="0" distB="0" distL="0" distR="0" wp14:anchorId="30EAD15C" wp14:editId="3B6E730A">
            <wp:extent cx="6124575" cy="8286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autoSpaceDE w:val="0"/>
        <w:autoSpaceDN w:val="0"/>
        <w:adjustRightInd w:val="0"/>
        <w:jc w:val="both"/>
        <w:rPr>
          <w:lang w:eastAsia="es-MX"/>
        </w:rPr>
      </w:pPr>
    </w:p>
    <w:p w:rsidR="0075582F" w:rsidRPr="009C6450" w:rsidRDefault="0075582F" w:rsidP="0075582F">
      <w:pPr>
        <w:autoSpaceDE w:val="0"/>
        <w:autoSpaceDN w:val="0"/>
        <w:adjustRightInd w:val="0"/>
        <w:jc w:val="both"/>
        <w:rPr>
          <w:lang w:eastAsia="es-MX"/>
        </w:rPr>
      </w:pPr>
    </w:p>
    <w:p w:rsidR="0075582F" w:rsidRPr="009C6450" w:rsidRDefault="0075582F" w:rsidP="0075582F">
      <w:pPr>
        <w:tabs>
          <w:tab w:val="left" w:pos="1418"/>
        </w:tabs>
        <w:autoSpaceDE w:val="0"/>
        <w:autoSpaceDN w:val="0"/>
        <w:adjustRightInd w:val="0"/>
        <w:jc w:val="both"/>
        <w:rPr>
          <w:b/>
          <w:i/>
        </w:rPr>
      </w:pPr>
      <w:r w:rsidRPr="009C6450">
        <w:rPr>
          <w:b/>
          <w:i/>
        </w:rPr>
        <w:t>Almacenes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autoSpaceDE w:val="0"/>
        <w:autoSpaceDN w:val="0"/>
        <w:adjustRightInd w:val="0"/>
        <w:jc w:val="both"/>
        <w:rPr>
          <w:lang w:eastAsia="es-MX"/>
        </w:rPr>
      </w:pPr>
      <w:r w:rsidRPr="009C6450">
        <w:rPr>
          <w:lang w:eastAsia="es-MX"/>
        </w:rPr>
        <w:t xml:space="preserve">El rubro de almacenes asciende a </w:t>
      </w:r>
      <w:r>
        <w:rPr>
          <w:lang w:eastAsia="es-MX"/>
        </w:rPr>
        <w:t>5.2</w:t>
      </w:r>
      <w:r w:rsidRPr="009C6450">
        <w:rPr>
          <w:lang w:eastAsia="es-MX"/>
        </w:rPr>
        <w:t xml:space="preserve"> millones de pesos y refleja la existencia física de materias primas y de consumibles que se tienen en los almacenes al 3</w:t>
      </w:r>
      <w:r>
        <w:rPr>
          <w:lang w:eastAsia="es-MX"/>
        </w:rPr>
        <w:t>0</w:t>
      </w:r>
      <w:r w:rsidRPr="009C6450">
        <w:rPr>
          <w:lang w:eastAsia="es-MX"/>
        </w:rPr>
        <w:t xml:space="preserve"> de </w:t>
      </w:r>
      <w:r>
        <w:rPr>
          <w:lang w:eastAsia="es-MX"/>
        </w:rPr>
        <w:t xml:space="preserve">junio </w:t>
      </w:r>
      <w:r w:rsidRPr="009C6450">
        <w:rPr>
          <w:lang w:eastAsia="es-MX"/>
        </w:rPr>
        <w:t>de 202</w:t>
      </w:r>
      <w:r>
        <w:rPr>
          <w:lang w:eastAsia="es-MX"/>
        </w:rPr>
        <w:t>1</w:t>
      </w:r>
      <w:r w:rsidRPr="009C6450">
        <w:rPr>
          <w:lang w:eastAsia="es-MX"/>
        </w:rPr>
        <w:t xml:space="preserve">, integrado principalmente por </w:t>
      </w:r>
      <w:r w:rsidRPr="009C6450">
        <w:t xml:space="preserve">materiales y suministro de consumo, como son los materiales y útiles de oficina, de impresión y reproducción; respecto al activo circulante representa el </w:t>
      </w:r>
      <w:r>
        <w:t>1.9</w:t>
      </w:r>
      <w:r w:rsidRPr="009C6450">
        <w:t xml:space="preserve"> por ciento.</w:t>
      </w:r>
    </w:p>
    <w:p w:rsidR="0075582F" w:rsidRPr="009C6450" w:rsidRDefault="0075582F" w:rsidP="0075582F">
      <w:pPr>
        <w:autoSpaceDE w:val="0"/>
        <w:autoSpaceDN w:val="0"/>
        <w:adjustRightInd w:val="0"/>
        <w:jc w:val="both"/>
        <w:rPr>
          <w:lang w:eastAsia="es-MX"/>
        </w:rPr>
      </w:pPr>
    </w:p>
    <w:p w:rsidR="0075582F" w:rsidRPr="009C6450" w:rsidRDefault="0075582F" w:rsidP="0075582F">
      <w:pPr>
        <w:autoSpaceDE w:val="0"/>
        <w:autoSpaceDN w:val="0"/>
        <w:adjustRightInd w:val="0"/>
        <w:jc w:val="center"/>
        <w:rPr>
          <w:lang w:eastAsia="es-MX"/>
        </w:rPr>
      </w:pPr>
      <w:r w:rsidRPr="00F2512B">
        <w:rPr>
          <w:noProof/>
          <w:lang w:eastAsia="es-MX"/>
        </w:rPr>
        <w:drawing>
          <wp:inline distT="0" distB="0" distL="0" distR="0" wp14:anchorId="17401E74" wp14:editId="11DCF720">
            <wp:extent cx="6124575" cy="8286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autoSpaceDE w:val="0"/>
        <w:autoSpaceDN w:val="0"/>
        <w:adjustRightInd w:val="0"/>
        <w:jc w:val="both"/>
        <w:rPr>
          <w:lang w:eastAsia="es-MX"/>
        </w:rPr>
      </w:pPr>
    </w:p>
    <w:p w:rsidR="0075582F" w:rsidRPr="009C6450" w:rsidRDefault="0075582F" w:rsidP="0075582F">
      <w:pPr>
        <w:autoSpaceDE w:val="0"/>
        <w:autoSpaceDN w:val="0"/>
        <w:adjustRightInd w:val="0"/>
        <w:jc w:val="both"/>
        <w:rPr>
          <w:lang w:eastAsia="es-MX"/>
        </w:rPr>
      </w:pPr>
    </w:p>
    <w:p w:rsidR="0075582F" w:rsidRPr="009C6450" w:rsidRDefault="0075582F" w:rsidP="0075582F">
      <w:pPr>
        <w:tabs>
          <w:tab w:val="left" w:pos="1418"/>
        </w:tabs>
        <w:autoSpaceDE w:val="0"/>
        <w:autoSpaceDN w:val="0"/>
        <w:adjustRightInd w:val="0"/>
        <w:jc w:val="both"/>
        <w:rPr>
          <w:b/>
          <w:i/>
        </w:rPr>
      </w:pPr>
      <w:r w:rsidRPr="009C6450">
        <w:rPr>
          <w:b/>
          <w:i/>
        </w:rPr>
        <w:t>Estimación por Pérdida o Deterioro de Activos Circulantes</w:t>
      </w:r>
    </w:p>
    <w:p w:rsidR="0075582F" w:rsidRPr="009C6450" w:rsidRDefault="0075582F" w:rsidP="0075582F">
      <w:pPr>
        <w:tabs>
          <w:tab w:val="left" w:pos="1418"/>
        </w:tabs>
        <w:autoSpaceDE w:val="0"/>
        <w:autoSpaceDN w:val="0"/>
        <w:adjustRightInd w:val="0"/>
        <w:jc w:val="both"/>
        <w:rPr>
          <w:b/>
          <w:i/>
          <w:highlight w:val="yellow"/>
        </w:rPr>
      </w:pPr>
    </w:p>
    <w:p w:rsidR="0075582F" w:rsidRPr="009C6450" w:rsidRDefault="0075582F" w:rsidP="0075582F">
      <w:pPr>
        <w:autoSpaceDE w:val="0"/>
        <w:autoSpaceDN w:val="0"/>
        <w:adjustRightInd w:val="0"/>
        <w:jc w:val="both"/>
        <w:rPr>
          <w:lang w:eastAsia="es-MX"/>
        </w:rPr>
      </w:pPr>
      <w:r w:rsidRPr="009C6450">
        <w:rPr>
          <w:lang w:eastAsia="es-MX"/>
        </w:rPr>
        <w:t>Al 3</w:t>
      </w:r>
      <w:r>
        <w:rPr>
          <w:lang w:eastAsia="es-MX"/>
        </w:rPr>
        <w:t>0</w:t>
      </w:r>
      <w:r w:rsidRPr="009C6450">
        <w:rPr>
          <w:lang w:eastAsia="es-MX"/>
        </w:rPr>
        <w:t xml:space="preserve"> de </w:t>
      </w:r>
      <w:r>
        <w:rPr>
          <w:lang w:eastAsia="es-MX"/>
        </w:rPr>
        <w:t xml:space="preserve">junio </w:t>
      </w:r>
      <w:r w:rsidRPr="009C6450">
        <w:rPr>
          <w:lang w:eastAsia="es-MX"/>
        </w:rPr>
        <w:t>de 202</w:t>
      </w:r>
      <w:r>
        <w:rPr>
          <w:lang w:eastAsia="es-MX"/>
        </w:rPr>
        <w:t>1</w:t>
      </w:r>
      <w:r w:rsidRPr="009C6450">
        <w:rPr>
          <w:lang w:eastAsia="es-MX"/>
        </w:rPr>
        <w:t xml:space="preserve"> asciende a 4.0 millones de pesos, el cual representa una disminución del 1.</w:t>
      </w:r>
      <w:r>
        <w:rPr>
          <w:lang w:eastAsia="es-MX"/>
        </w:rPr>
        <w:t xml:space="preserve">5 </w:t>
      </w:r>
      <w:r w:rsidRPr="009C6450">
        <w:rPr>
          <w:lang w:eastAsia="es-MX"/>
        </w:rPr>
        <w:t>por ciento del activo circulante y representa la estimación de los riesgos de incobrabilidad que implican las cuentas por cobrar.</w:t>
      </w:r>
    </w:p>
    <w:p w:rsidR="0075582F" w:rsidRPr="009C6450" w:rsidRDefault="0075582F" w:rsidP="0075582F">
      <w:pPr>
        <w:tabs>
          <w:tab w:val="left" w:pos="1418"/>
        </w:tabs>
        <w:autoSpaceDE w:val="0"/>
        <w:autoSpaceDN w:val="0"/>
        <w:adjustRightInd w:val="0"/>
        <w:jc w:val="both"/>
        <w:rPr>
          <w:highlight w:val="yellow"/>
          <w:lang w:eastAsia="es-MX"/>
        </w:rPr>
      </w:pPr>
    </w:p>
    <w:p w:rsidR="0075582F" w:rsidRPr="009C6450" w:rsidRDefault="0075582F" w:rsidP="0075582F">
      <w:pPr>
        <w:tabs>
          <w:tab w:val="left" w:pos="1418"/>
        </w:tabs>
        <w:autoSpaceDE w:val="0"/>
        <w:autoSpaceDN w:val="0"/>
        <w:adjustRightInd w:val="0"/>
        <w:jc w:val="center"/>
        <w:rPr>
          <w:lang w:eastAsia="es-MX"/>
        </w:rPr>
      </w:pPr>
      <w:r w:rsidRPr="00F2512B">
        <w:rPr>
          <w:noProof/>
          <w:lang w:eastAsia="es-MX"/>
        </w:rPr>
        <w:drawing>
          <wp:inline distT="0" distB="0" distL="0" distR="0" wp14:anchorId="650135D4" wp14:editId="7A7AF07C">
            <wp:extent cx="6124575" cy="9906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75582F" w:rsidRPr="009C6450" w:rsidRDefault="0075582F" w:rsidP="0075582F">
      <w:pPr>
        <w:autoSpaceDE w:val="0"/>
        <w:autoSpaceDN w:val="0"/>
        <w:adjustRightInd w:val="0"/>
        <w:jc w:val="both"/>
        <w:rPr>
          <w:lang w:eastAsia="es-MX"/>
        </w:rPr>
      </w:pPr>
    </w:p>
    <w:p w:rsidR="0075582F" w:rsidRPr="009C6450" w:rsidRDefault="0075582F" w:rsidP="0075582F">
      <w:pPr>
        <w:autoSpaceDE w:val="0"/>
        <w:autoSpaceDN w:val="0"/>
        <w:adjustRightInd w:val="0"/>
        <w:jc w:val="both"/>
        <w:rPr>
          <w:lang w:eastAsia="es-MX"/>
        </w:rPr>
      </w:pPr>
    </w:p>
    <w:p w:rsidR="0075582F" w:rsidRPr="009C6450" w:rsidRDefault="0075582F" w:rsidP="0075582F">
      <w:pPr>
        <w:tabs>
          <w:tab w:val="left" w:pos="1418"/>
        </w:tabs>
        <w:autoSpaceDE w:val="0"/>
        <w:autoSpaceDN w:val="0"/>
        <w:adjustRightInd w:val="0"/>
        <w:jc w:val="both"/>
        <w:rPr>
          <w:b/>
          <w:i/>
        </w:rPr>
      </w:pPr>
      <w:r w:rsidRPr="009C6450">
        <w:rPr>
          <w:b/>
          <w:i/>
        </w:rPr>
        <w:t>Otros Activos Circulantes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autoSpaceDE w:val="0"/>
        <w:autoSpaceDN w:val="0"/>
        <w:adjustRightInd w:val="0"/>
        <w:jc w:val="both"/>
        <w:rPr>
          <w:lang w:eastAsia="es-MX"/>
        </w:rPr>
      </w:pPr>
      <w:r w:rsidRPr="009C6450">
        <w:rPr>
          <w:lang w:eastAsia="es-MX"/>
        </w:rPr>
        <w:t>Este rubro asciende a 0.6 millones de pesos y refleja los depósitos otorgados a terceros para garantizar los servicios de energía eléctrica utilizados por las entidades. Representa el 0.2 por ciento del activo circulante.</w:t>
      </w:r>
    </w:p>
    <w:p w:rsidR="0075582F" w:rsidRPr="009C6450" w:rsidRDefault="0075582F" w:rsidP="0075582F">
      <w:pPr>
        <w:autoSpaceDE w:val="0"/>
        <w:autoSpaceDN w:val="0"/>
        <w:adjustRightInd w:val="0"/>
        <w:jc w:val="both"/>
        <w:rPr>
          <w:lang w:eastAsia="es-MX"/>
        </w:rPr>
      </w:pPr>
    </w:p>
    <w:p w:rsidR="0075582F" w:rsidRPr="009C6450" w:rsidRDefault="0075582F" w:rsidP="0075582F">
      <w:pPr>
        <w:autoSpaceDE w:val="0"/>
        <w:autoSpaceDN w:val="0"/>
        <w:adjustRightInd w:val="0"/>
        <w:jc w:val="center"/>
        <w:rPr>
          <w:lang w:eastAsia="es-MX"/>
        </w:rPr>
      </w:pPr>
      <w:r w:rsidRPr="00F2512B">
        <w:rPr>
          <w:noProof/>
          <w:lang w:eastAsia="es-MX"/>
        </w:rPr>
        <w:drawing>
          <wp:inline distT="0" distB="0" distL="0" distR="0" wp14:anchorId="5968C985" wp14:editId="2407D28D">
            <wp:extent cx="6124575" cy="8286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Default="0075582F" w:rsidP="0075582F">
      <w:pPr>
        <w:autoSpaceDE w:val="0"/>
        <w:autoSpaceDN w:val="0"/>
        <w:adjustRightInd w:val="0"/>
        <w:jc w:val="both"/>
        <w:rPr>
          <w:lang w:eastAsia="es-MX"/>
        </w:rPr>
      </w:pPr>
    </w:p>
    <w:p w:rsidR="0075582F" w:rsidRDefault="0075582F" w:rsidP="0075582F">
      <w:pPr>
        <w:autoSpaceDE w:val="0"/>
        <w:autoSpaceDN w:val="0"/>
        <w:adjustRightInd w:val="0"/>
        <w:jc w:val="both"/>
        <w:rPr>
          <w:lang w:eastAsia="es-MX"/>
        </w:rPr>
      </w:pPr>
    </w:p>
    <w:p w:rsidR="0075582F" w:rsidRDefault="0075582F" w:rsidP="0075582F">
      <w:pPr>
        <w:autoSpaceDE w:val="0"/>
        <w:autoSpaceDN w:val="0"/>
        <w:adjustRightInd w:val="0"/>
        <w:jc w:val="both"/>
        <w:rPr>
          <w:lang w:eastAsia="es-MX"/>
        </w:rPr>
      </w:pPr>
    </w:p>
    <w:p w:rsidR="007D0586" w:rsidRDefault="007D0586" w:rsidP="0075582F">
      <w:pPr>
        <w:autoSpaceDE w:val="0"/>
        <w:autoSpaceDN w:val="0"/>
        <w:adjustRightInd w:val="0"/>
        <w:jc w:val="both"/>
        <w:rPr>
          <w:lang w:eastAsia="es-MX"/>
        </w:rPr>
      </w:pPr>
    </w:p>
    <w:p w:rsidR="007D0586" w:rsidRDefault="007D0586" w:rsidP="0075582F">
      <w:pPr>
        <w:autoSpaceDE w:val="0"/>
        <w:autoSpaceDN w:val="0"/>
        <w:adjustRightInd w:val="0"/>
        <w:jc w:val="both"/>
        <w:rPr>
          <w:lang w:eastAsia="es-MX"/>
        </w:rPr>
      </w:pPr>
    </w:p>
    <w:p w:rsidR="007D0586" w:rsidRPr="009C6450" w:rsidRDefault="007D0586" w:rsidP="0075582F">
      <w:pPr>
        <w:autoSpaceDE w:val="0"/>
        <w:autoSpaceDN w:val="0"/>
        <w:adjustRightInd w:val="0"/>
        <w:jc w:val="both"/>
        <w:rPr>
          <w:lang w:eastAsia="es-MX"/>
        </w:rPr>
      </w:pPr>
    </w:p>
    <w:p w:rsidR="0075582F" w:rsidRPr="009C6450" w:rsidRDefault="0075582F" w:rsidP="007D0586">
      <w:pPr>
        <w:autoSpaceDE w:val="0"/>
        <w:autoSpaceDN w:val="0"/>
        <w:adjustRightInd w:val="0"/>
        <w:spacing w:after="60"/>
        <w:jc w:val="both"/>
        <w:rPr>
          <w:b/>
          <w:bCs/>
        </w:rPr>
      </w:pPr>
      <w:r w:rsidRPr="009C6450">
        <w:rPr>
          <w:b/>
          <w:bCs/>
        </w:rPr>
        <w:lastRenderedPageBreak/>
        <w:t>No Circulante</w:t>
      </w:r>
    </w:p>
    <w:p w:rsidR="0075582F" w:rsidRPr="009C6450" w:rsidRDefault="0075582F" w:rsidP="0075582F">
      <w:pPr>
        <w:pBdr>
          <w:top w:val="single" w:sz="4" w:space="1" w:color="C0C0C0"/>
        </w:pBdr>
        <w:autoSpaceDE w:val="0"/>
        <w:autoSpaceDN w:val="0"/>
        <w:adjustRightInd w:val="0"/>
        <w:jc w:val="both"/>
        <w:rPr>
          <w:b/>
          <w:bCs/>
        </w:rPr>
      </w:pPr>
    </w:p>
    <w:p w:rsidR="0075582F" w:rsidRPr="009C6450" w:rsidRDefault="0075582F" w:rsidP="0075582F">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5B253FE4" wp14:editId="3F10F169">
            <wp:extent cx="6692265" cy="2239010"/>
            <wp:effectExtent l="0" t="0" r="0" b="889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5582F" w:rsidRPr="009C6450" w:rsidRDefault="0075582F" w:rsidP="0075582F">
      <w:pPr>
        <w:pBdr>
          <w:top w:val="single" w:sz="4" w:space="1" w:color="C0C0C0"/>
        </w:pBdr>
        <w:autoSpaceDE w:val="0"/>
        <w:autoSpaceDN w:val="0"/>
        <w:adjustRightInd w:val="0"/>
        <w:jc w:val="both"/>
        <w:rPr>
          <w:b/>
          <w:bCs/>
          <w:noProof/>
          <w:lang w:eastAsia="es-MX"/>
        </w:rPr>
      </w:pPr>
    </w:p>
    <w:p w:rsidR="0075582F" w:rsidRPr="009C6450" w:rsidRDefault="0075582F" w:rsidP="0075582F">
      <w:pPr>
        <w:tabs>
          <w:tab w:val="left" w:pos="1418"/>
        </w:tabs>
        <w:autoSpaceDE w:val="0"/>
        <w:autoSpaceDN w:val="0"/>
        <w:adjustRightInd w:val="0"/>
        <w:jc w:val="both"/>
        <w:rPr>
          <w:b/>
          <w:i/>
        </w:rPr>
      </w:pPr>
      <w:r w:rsidRPr="009C6450">
        <w:rPr>
          <w:b/>
          <w:i/>
        </w:rPr>
        <w:t>Derechos a Recibir Efectivo o Equivalentes a Largo Plazo</w:t>
      </w:r>
    </w:p>
    <w:p w:rsidR="0075582F" w:rsidRPr="009C6450" w:rsidRDefault="0075582F" w:rsidP="0075582F">
      <w:pPr>
        <w:autoSpaceDE w:val="0"/>
        <w:autoSpaceDN w:val="0"/>
        <w:adjustRightInd w:val="0"/>
        <w:jc w:val="both"/>
      </w:pPr>
    </w:p>
    <w:p w:rsidR="0075582F" w:rsidRPr="009C6450" w:rsidRDefault="0075582F" w:rsidP="0075582F">
      <w:pPr>
        <w:tabs>
          <w:tab w:val="left" w:pos="1418"/>
        </w:tabs>
        <w:autoSpaceDE w:val="0"/>
        <w:autoSpaceDN w:val="0"/>
        <w:adjustRightInd w:val="0"/>
        <w:jc w:val="both"/>
      </w:pPr>
      <w:r w:rsidRPr="009C6450">
        <w:t xml:space="preserve">Este rubro del activo asciende a </w:t>
      </w:r>
      <w:r>
        <w:t>106.4</w:t>
      </w:r>
      <w:r w:rsidRPr="009C6450">
        <w:t xml:space="preserve"> millones de pesos y representa el </w:t>
      </w:r>
      <w:r>
        <w:t>5.2</w:t>
      </w:r>
      <w:r w:rsidRPr="009C6450">
        <w:t xml:space="preserve"> por ciento del activo no circulante y se compone del saldo a favor de impuestos federales</w:t>
      </w:r>
      <w:r>
        <w:t xml:space="preserve"> y subsidio al empleo</w:t>
      </w:r>
      <w:r w:rsidRPr="009C6450">
        <w:t>; así como, gastos a comprobar y anticipo de sueldos.</w:t>
      </w:r>
    </w:p>
    <w:p w:rsidR="0075582F" w:rsidRPr="009C6450" w:rsidRDefault="0075582F" w:rsidP="0075582F">
      <w:pPr>
        <w:tabs>
          <w:tab w:val="left" w:pos="1418"/>
        </w:tabs>
        <w:autoSpaceDE w:val="0"/>
        <w:autoSpaceDN w:val="0"/>
        <w:adjustRightInd w:val="0"/>
        <w:jc w:val="both"/>
      </w:pPr>
    </w:p>
    <w:p w:rsidR="0075582F" w:rsidRPr="009C6450" w:rsidRDefault="0075582F" w:rsidP="0075582F">
      <w:pPr>
        <w:tabs>
          <w:tab w:val="left" w:pos="1418"/>
        </w:tabs>
        <w:autoSpaceDE w:val="0"/>
        <w:autoSpaceDN w:val="0"/>
        <w:adjustRightInd w:val="0"/>
        <w:jc w:val="center"/>
      </w:pPr>
      <w:r w:rsidRPr="00F2512B">
        <w:rPr>
          <w:noProof/>
          <w:lang w:eastAsia="es-MX"/>
        </w:rPr>
        <w:drawing>
          <wp:inline distT="0" distB="0" distL="0" distR="0" wp14:anchorId="080A0BFC" wp14:editId="047A76ED">
            <wp:extent cx="6124575" cy="9906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990600"/>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Bienes Inmuebles, Infraestructura y Construcciones en Proceso</w:t>
      </w:r>
    </w:p>
    <w:p w:rsidR="0075582F" w:rsidRPr="009C6450" w:rsidRDefault="0075582F" w:rsidP="0075582F">
      <w:pPr>
        <w:jc w:val="both"/>
      </w:pPr>
    </w:p>
    <w:p w:rsidR="0075582F" w:rsidRPr="009C6450" w:rsidRDefault="0075582F" w:rsidP="0075582F">
      <w:pPr>
        <w:pStyle w:val="Textoindependiente"/>
        <w:rPr>
          <w:b/>
          <w:bCs/>
          <w:i/>
          <w:iCs w:val="0"/>
        </w:rPr>
      </w:pPr>
      <w:r w:rsidRPr="009C6450">
        <w:t>Este rubro del activo refleja la cifra de 2 mil 5</w:t>
      </w:r>
      <w:r>
        <w:t>23.5</w:t>
      </w:r>
      <w:r w:rsidRPr="009C6450">
        <w:t xml:space="preserve"> millones de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w:t>
      </w:r>
    </w:p>
    <w:p w:rsidR="0075582F" w:rsidRPr="009C6450" w:rsidRDefault="0075582F" w:rsidP="0075582F">
      <w:pPr>
        <w:jc w:val="both"/>
        <w:rPr>
          <w:highlight w:val="yellow"/>
        </w:rPr>
      </w:pPr>
    </w:p>
    <w:p w:rsidR="0075582F" w:rsidRPr="009C6450" w:rsidRDefault="0075582F" w:rsidP="0075582F">
      <w:pPr>
        <w:pStyle w:val="Textoindependiente"/>
      </w:pPr>
      <w:r w:rsidRPr="009C6450">
        <w:t>Del total del activo no circulante este rubro representa el 1</w:t>
      </w:r>
      <w:r>
        <w:t>22.8</w:t>
      </w:r>
      <w:r w:rsidRPr="009C6450">
        <w:t xml:space="preserve"> por ciento.</w:t>
      </w:r>
    </w:p>
    <w:p w:rsidR="0075582F" w:rsidRPr="009C6450" w:rsidRDefault="0075582F" w:rsidP="0075582F">
      <w:pPr>
        <w:pStyle w:val="Textoindependiente"/>
      </w:pPr>
    </w:p>
    <w:p w:rsidR="0075582F" w:rsidRPr="009C6450" w:rsidRDefault="0075582F" w:rsidP="0075582F">
      <w:pPr>
        <w:pStyle w:val="Textoindependiente"/>
        <w:jc w:val="center"/>
      </w:pPr>
      <w:r w:rsidRPr="00F2512B">
        <w:rPr>
          <w:noProof/>
          <w:lang w:eastAsia="es-MX"/>
        </w:rPr>
        <w:drawing>
          <wp:inline distT="0" distB="0" distL="0" distR="0" wp14:anchorId="6931144C" wp14:editId="1AE49C46">
            <wp:extent cx="6124575" cy="13144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75582F" w:rsidRDefault="0075582F" w:rsidP="0075582F">
      <w:pPr>
        <w:pStyle w:val="Textoindependiente"/>
      </w:pPr>
    </w:p>
    <w:p w:rsidR="0075582F" w:rsidRPr="009C6450" w:rsidRDefault="0075582F" w:rsidP="0075582F">
      <w:pPr>
        <w:pStyle w:val="Textoindependiente"/>
      </w:pPr>
    </w:p>
    <w:p w:rsidR="0075582F" w:rsidRPr="009C6450" w:rsidRDefault="0075582F" w:rsidP="0075582F">
      <w:pPr>
        <w:tabs>
          <w:tab w:val="left" w:pos="1418"/>
        </w:tabs>
        <w:autoSpaceDE w:val="0"/>
        <w:autoSpaceDN w:val="0"/>
        <w:adjustRightInd w:val="0"/>
        <w:jc w:val="both"/>
        <w:rPr>
          <w:b/>
          <w:i/>
        </w:rPr>
      </w:pPr>
      <w:r w:rsidRPr="009C6450">
        <w:rPr>
          <w:b/>
          <w:i/>
        </w:rPr>
        <w:t>Bienes Muebles</w:t>
      </w:r>
    </w:p>
    <w:p w:rsidR="0075582F" w:rsidRPr="009C6450" w:rsidRDefault="0075582F" w:rsidP="0075582F">
      <w:pPr>
        <w:autoSpaceDE w:val="0"/>
        <w:autoSpaceDN w:val="0"/>
        <w:adjustRightInd w:val="0"/>
      </w:pPr>
    </w:p>
    <w:p w:rsidR="0075582F" w:rsidRPr="009C6450" w:rsidRDefault="0075582F" w:rsidP="0075582F">
      <w:pPr>
        <w:tabs>
          <w:tab w:val="left" w:pos="1418"/>
        </w:tabs>
        <w:autoSpaceDE w:val="0"/>
        <w:autoSpaceDN w:val="0"/>
        <w:adjustRightInd w:val="0"/>
        <w:jc w:val="both"/>
      </w:pPr>
      <w:r w:rsidRPr="009C6450">
        <w:t>Este renglón del activo refleja el valor de los bienes muebles que poseen las Entidades Paraestatales Empresariales no Financieras con Participación Estatal Mayoritaria y que al 3</w:t>
      </w:r>
      <w:r>
        <w:t>0</w:t>
      </w:r>
      <w:r w:rsidRPr="009C6450">
        <w:t xml:space="preserve"> de </w:t>
      </w:r>
      <w:r>
        <w:t xml:space="preserve">junio </w:t>
      </w:r>
      <w:r w:rsidRPr="009C6450">
        <w:t>de 202</w:t>
      </w:r>
      <w:r>
        <w:t>1</w:t>
      </w:r>
      <w:r w:rsidRPr="009C6450">
        <w:t xml:space="preserve">, asciende a un monto global de </w:t>
      </w:r>
      <w:r>
        <w:t>280.9</w:t>
      </w:r>
      <w:r w:rsidRPr="009C6450">
        <w:t xml:space="preserve"> millones de pesos y representa el 1</w:t>
      </w:r>
      <w:r>
        <w:t>3.7</w:t>
      </w:r>
      <w:r w:rsidRPr="009C6450">
        <w:t xml:space="preserve"> por ciento respecto al total del activo no circulante, integrándose por: mobiliario y equipo de administración, </w:t>
      </w:r>
      <w:r>
        <w:t xml:space="preserve">mobiliario y equipo educacional y recreativo, </w:t>
      </w:r>
      <w:r w:rsidRPr="009C6450">
        <w:t xml:space="preserve">vehículos y equipo de transporte, maquinaria, </w:t>
      </w:r>
      <w:r w:rsidRPr="009C6450">
        <w:lastRenderedPageBreak/>
        <w:t>otros equipos y herramientas</w:t>
      </w:r>
      <w:r>
        <w:t>, colecciones, obras de arte y objetos valiosos</w:t>
      </w:r>
      <w:r w:rsidRPr="009C6450">
        <w:t>; los cuales son necesarios para cubrir la operatividad de los diferentes organismos públicos.</w:t>
      </w:r>
    </w:p>
    <w:p w:rsidR="0075582F" w:rsidRPr="009C6450" w:rsidRDefault="0075582F" w:rsidP="0075582F">
      <w:pPr>
        <w:tabs>
          <w:tab w:val="left" w:pos="1418"/>
        </w:tabs>
        <w:autoSpaceDE w:val="0"/>
        <w:autoSpaceDN w:val="0"/>
        <w:adjustRightInd w:val="0"/>
        <w:jc w:val="both"/>
      </w:pPr>
    </w:p>
    <w:p w:rsidR="0075582F" w:rsidRPr="009C6450" w:rsidRDefault="0075582F" w:rsidP="0075582F">
      <w:pPr>
        <w:jc w:val="center"/>
      </w:pPr>
      <w:r w:rsidRPr="00F2512B">
        <w:rPr>
          <w:noProof/>
          <w:lang w:eastAsia="es-MX"/>
        </w:rPr>
        <w:drawing>
          <wp:inline distT="0" distB="0" distL="0" distR="0" wp14:anchorId="4F4BFC26" wp14:editId="31152C07">
            <wp:extent cx="6124575" cy="14763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575" cy="1476375"/>
                    </a:xfrm>
                    <a:prstGeom prst="rect">
                      <a:avLst/>
                    </a:prstGeom>
                    <a:noFill/>
                    <a:ln>
                      <a:noFill/>
                    </a:ln>
                  </pic:spPr>
                </pic:pic>
              </a:graphicData>
            </a:graphic>
          </wp:inline>
        </w:drawing>
      </w:r>
    </w:p>
    <w:p w:rsidR="0075582F" w:rsidRPr="009C6450" w:rsidRDefault="0075582F" w:rsidP="0075582F">
      <w:pPr>
        <w:jc w:val="both"/>
      </w:pPr>
    </w:p>
    <w:p w:rsidR="0075582F" w:rsidRPr="009C6450" w:rsidRDefault="0075582F" w:rsidP="0075582F">
      <w:pPr>
        <w:jc w:val="both"/>
      </w:pPr>
    </w:p>
    <w:p w:rsidR="0075582F" w:rsidRPr="00BC4A76" w:rsidRDefault="0075582F" w:rsidP="0075582F">
      <w:pPr>
        <w:tabs>
          <w:tab w:val="left" w:pos="1418"/>
        </w:tabs>
        <w:autoSpaceDE w:val="0"/>
        <w:autoSpaceDN w:val="0"/>
        <w:adjustRightInd w:val="0"/>
        <w:jc w:val="both"/>
        <w:rPr>
          <w:b/>
          <w:i/>
        </w:rPr>
      </w:pPr>
      <w:r w:rsidRPr="00BC4A76">
        <w:rPr>
          <w:b/>
          <w:i/>
        </w:rPr>
        <w:t>Activos Intangibles</w:t>
      </w:r>
    </w:p>
    <w:p w:rsidR="0075582F" w:rsidRPr="00BC4A76" w:rsidRDefault="0075582F" w:rsidP="0075582F">
      <w:pPr>
        <w:tabs>
          <w:tab w:val="left" w:pos="1418"/>
        </w:tabs>
        <w:autoSpaceDE w:val="0"/>
        <w:autoSpaceDN w:val="0"/>
        <w:adjustRightInd w:val="0"/>
        <w:jc w:val="both"/>
        <w:rPr>
          <w:b/>
          <w:i/>
        </w:rPr>
      </w:pPr>
    </w:p>
    <w:p w:rsidR="0075582F" w:rsidRPr="00B26A89" w:rsidRDefault="0075582F" w:rsidP="0075582F">
      <w:pPr>
        <w:autoSpaceDE w:val="0"/>
        <w:autoSpaceDN w:val="0"/>
        <w:adjustRightInd w:val="0"/>
        <w:jc w:val="both"/>
      </w:pPr>
      <w:r w:rsidRPr="00FB79F3">
        <w:t>Al 3</w:t>
      </w:r>
      <w:r>
        <w:t>0</w:t>
      </w:r>
      <w:r w:rsidRPr="00FB79F3">
        <w:t xml:space="preserve"> de </w:t>
      </w:r>
      <w:r>
        <w:t xml:space="preserve">junio </w:t>
      </w:r>
      <w:r w:rsidRPr="00FB79F3">
        <w:t>de 202</w:t>
      </w:r>
      <w:r>
        <w:t>1</w:t>
      </w:r>
      <w:r w:rsidRPr="00FB79F3">
        <w:t xml:space="preserve">, este rubro asciende a </w:t>
      </w:r>
      <w:r>
        <w:t xml:space="preserve">30 mil 400 pesos </w:t>
      </w:r>
      <w:r w:rsidRPr="00FB79F3">
        <w:t>representa</w:t>
      </w:r>
      <w:r>
        <w:t>ndo</w:t>
      </w:r>
      <w:r w:rsidRPr="00FB79F3">
        <w:t xml:space="preserve"> el valor de todos l</w:t>
      </w:r>
      <w:r>
        <w:t xml:space="preserve">os bienes intangibles como </w:t>
      </w:r>
      <w:r w:rsidRPr="00FB79F3">
        <w:t>software</w:t>
      </w:r>
      <w:r>
        <w:t xml:space="preserve">, </w:t>
      </w:r>
      <w:r w:rsidRPr="00FB79F3">
        <w:t xml:space="preserve">propiedad de la </w:t>
      </w:r>
      <w:r>
        <w:t xml:space="preserve">Sociedad Operadora del Aeropuerto Internacional Ángel Albino Corzo, S.A. de C.V. </w:t>
      </w:r>
    </w:p>
    <w:p w:rsidR="0075582F" w:rsidRDefault="0075582F" w:rsidP="0075582F">
      <w:pPr>
        <w:tabs>
          <w:tab w:val="left" w:pos="1418"/>
        </w:tabs>
        <w:autoSpaceDE w:val="0"/>
        <w:autoSpaceDN w:val="0"/>
        <w:adjustRightInd w:val="0"/>
        <w:jc w:val="both"/>
        <w:rPr>
          <w:b/>
          <w:i/>
        </w:rPr>
      </w:pPr>
    </w:p>
    <w:p w:rsidR="0075582F" w:rsidRDefault="0075582F" w:rsidP="0075582F">
      <w:pPr>
        <w:tabs>
          <w:tab w:val="left" w:pos="1418"/>
        </w:tabs>
        <w:autoSpaceDE w:val="0"/>
        <w:autoSpaceDN w:val="0"/>
        <w:adjustRightInd w:val="0"/>
        <w:jc w:val="center"/>
        <w:rPr>
          <w:b/>
          <w:i/>
        </w:rPr>
      </w:pPr>
      <w:r w:rsidRPr="00F2512B">
        <w:rPr>
          <w:noProof/>
          <w:lang w:eastAsia="es-MX"/>
        </w:rPr>
        <w:drawing>
          <wp:inline distT="0" distB="0" distL="0" distR="0" wp14:anchorId="1446C371" wp14:editId="79C470AF">
            <wp:extent cx="6124575" cy="82867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Default="0075582F" w:rsidP="0075582F">
      <w:pPr>
        <w:tabs>
          <w:tab w:val="left" w:pos="1418"/>
        </w:tabs>
        <w:autoSpaceDE w:val="0"/>
        <w:autoSpaceDN w:val="0"/>
        <w:adjustRightInd w:val="0"/>
        <w:jc w:val="both"/>
        <w:rPr>
          <w:b/>
          <w:i/>
        </w:rPr>
      </w:pPr>
    </w:p>
    <w:p w:rsidR="0075582F"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Depreciación, Deterioro y Amortización Acumulada de Bienes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pPr>
      <w:r w:rsidRPr="009C6450">
        <w:t xml:space="preserve">Este rubro asciende a </w:t>
      </w:r>
      <w:r>
        <w:t>872.2</w:t>
      </w:r>
      <w:r w:rsidRPr="009C6450">
        <w:t xml:space="preserve"> millones de pesos, el cual representa una disminución del </w:t>
      </w:r>
      <w:r>
        <w:t>42.5</w:t>
      </w:r>
      <w:r w:rsidRPr="009C6450">
        <w:t xml:space="preserve"> por ciento del activo no circulante; se integra por las depreciaciones</w:t>
      </w:r>
      <w:r>
        <w:t xml:space="preserve"> y amortizaciones </w:t>
      </w:r>
      <w:r w:rsidRPr="009C6450">
        <w:t>a los bienes muebles,</w:t>
      </w:r>
      <w:r>
        <w:t xml:space="preserve"> intangibles, </w:t>
      </w:r>
      <w:r w:rsidRPr="009C6450">
        <w:t>infraestructura e inmuebles de las Entidades Paraestatales y Fideicomisos Empresariales no Financieros con Participación Estatal Mayoritaria, aplicándose las tasas establecidas para tal efecto en la Ley del Impuesto sobre la Renta y el procedimiento establecido en los marcos normativos contables aprobados por el Consejo Nacional de Armonización Contable (CONAC).</w:t>
      </w:r>
    </w:p>
    <w:p w:rsidR="0075582F" w:rsidRPr="009C6450" w:rsidRDefault="0075582F" w:rsidP="0075582F">
      <w:pPr>
        <w:tabs>
          <w:tab w:val="left" w:pos="1418"/>
        </w:tabs>
        <w:autoSpaceDE w:val="0"/>
        <w:autoSpaceDN w:val="0"/>
        <w:adjustRightInd w:val="0"/>
        <w:jc w:val="both"/>
      </w:pPr>
    </w:p>
    <w:p w:rsidR="0075582F" w:rsidRPr="009C6450" w:rsidRDefault="0075582F" w:rsidP="0075582F">
      <w:pPr>
        <w:autoSpaceDE w:val="0"/>
        <w:autoSpaceDN w:val="0"/>
        <w:adjustRightInd w:val="0"/>
        <w:jc w:val="center"/>
        <w:outlineLvl w:val="0"/>
        <w:rPr>
          <w:b/>
          <w:bCs/>
          <w:i/>
          <w:iCs w:val="0"/>
        </w:rPr>
      </w:pPr>
      <w:r w:rsidRPr="00F2512B">
        <w:rPr>
          <w:noProof/>
          <w:lang w:eastAsia="es-MX"/>
        </w:rPr>
        <w:drawing>
          <wp:inline distT="0" distB="0" distL="0" distR="0" wp14:anchorId="0023D0FB" wp14:editId="7914D3C5">
            <wp:extent cx="6124575" cy="13144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75582F" w:rsidRPr="009C6450" w:rsidRDefault="0075582F" w:rsidP="0075582F">
      <w:pPr>
        <w:autoSpaceDE w:val="0"/>
        <w:autoSpaceDN w:val="0"/>
        <w:adjustRightInd w:val="0"/>
        <w:jc w:val="both"/>
        <w:outlineLvl w:val="0"/>
        <w:rPr>
          <w:b/>
          <w:bCs/>
          <w:i/>
          <w:iCs w:val="0"/>
        </w:rPr>
      </w:pPr>
    </w:p>
    <w:p w:rsidR="0075582F" w:rsidRPr="009C6450" w:rsidRDefault="0075582F" w:rsidP="0075582F">
      <w:pPr>
        <w:autoSpaceDE w:val="0"/>
        <w:autoSpaceDN w:val="0"/>
        <w:adjustRightInd w:val="0"/>
        <w:jc w:val="both"/>
        <w:outlineLvl w:val="0"/>
        <w:rPr>
          <w:b/>
          <w:bCs/>
          <w:i/>
          <w:iCs w:val="0"/>
        </w:rPr>
      </w:pPr>
    </w:p>
    <w:p w:rsidR="0075582F" w:rsidRPr="009C6450" w:rsidRDefault="0075582F" w:rsidP="0075582F">
      <w:pPr>
        <w:tabs>
          <w:tab w:val="left" w:pos="1418"/>
        </w:tabs>
        <w:autoSpaceDE w:val="0"/>
        <w:autoSpaceDN w:val="0"/>
        <w:adjustRightInd w:val="0"/>
        <w:jc w:val="both"/>
        <w:rPr>
          <w:b/>
          <w:i/>
        </w:rPr>
      </w:pPr>
      <w:r w:rsidRPr="009C6450">
        <w:rPr>
          <w:b/>
          <w:i/>
        </w:rPr>
        <w:t>Activos Diferidos</w:t>
      </w:r>
    </w:p>
    <w:p w:rsidR="0075582F" w:rsidRPr="009C6450" w:rsidRDefault="0075582F" w:rsidP="0075582F">
      <w:pPr>
        <w:jc w:val="both"/>
        <w:outlineLvl w:val="0"/>
        <w:rPr>
          <w:b/>
          <w:bCs/>
        </w:rPr>
      </w:pPr>
    </w:p>
    <w:p w:rsidR="0075582F" w:rsidRPr="009C6450" w:rsidRDefault="0075582F" w:rsidP="0075582F">
      <w:pPr>
        <w:jc w:val="both"/>
      </w:pPr>
      <w:r w:rsidRPr="009C6450">
        <w:t>El saldo de este rubro asciende a 12.</w:t>
      </w:r>
      <w:r>
        <w:t>6</w:t>
      </w:r>
      <w:r w:rsidRPr="009C6450">
        <w:t xml:space="preserve"> millones de pesos y se integra por: estudios, formulación y evaluación de proyectos con 8.2 millones de pesos, beneficios de retiro pagados por adelantado con 3.</w:t>
      </w:r>
      <w:r>
        <w:t>5</w:t>
      </w:r>
      <w:r w:rsidRPr="009C6450">
        <w:t xml:space="preserve"> millones de pesos; así como, operaciones transitorias por regularizar</w:t>
      </w:r>
      <w:r>
        <w:t xml:space="preserve"> </w:t>
      </w:r>
      <w:r w:rsidRPr="009C6450">
        <w:t>con 0.9 millones de pesos</w:t>
      </w:r>
      <w:r>
        <w:t>, correspondientes a recursos de años anteriores</w:t>
      </w:r>
      <w:r w:rsidRPr="009C6450">
        <w:t>.</w:t>
      </w:r>
    </w:p>
    <w:p w:rsidR="0075582F" w:rsidRPr="009C6450" w:rsidRDefault="0075582F" w:rsidP="0075582F">
      <w:pPr>
        <w:autoSpaceDE w:val="0"/>
        <w:autoSpaceDN w:val="0"/>
        <w:adjustRightInd w:val="0"/>
        <w:jc w:val="both"/>
      </w:pPr>
      <w:r w:rsidRPr="009C6450">
        <w:t>A la fecha que se informa este rubro representa el 0.6 por ciento respecto al total del activo no circulante.</w:t>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center"/>
      </w:pPr>
      <w:r w:rsidRPr="00F2512B">
        <w:rPr>
          <w:noProof/>
          <w:lang w:eastAsia="es-MX"/>
        </w:rPr>
        <w:lastRenderedPageBreak/>
        <w:drawing>
          <wp:inline distT="0" distB="0" distL="0" distR="0" wp14:anchorId="2F0D1B50" wp14:editId="24DD9FC2">
            <wp:extent cx="6124575" cy="11525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4575" cy="1152525"/>
                    </a:xfrm>
                    <a:prstGeom prst="rect">
                      <a:avLst/>
                    </a:prstGeom>
                    <a:noFill/>
                    <a:ln>
                      <a:noFill/>
                    </a:ln>
                  </pic:spPr>
                </pic:pic>
              </a:graphicData>
            </a:graphic>
          </wp:inline>
        </w:drawing>
      </w:r>
    </w:p>
    <w:p w:rsidR="0075582F" w:rsidRPr="009C6450" w:rsidRDefault="0075582F" w:rsidP="0075582F">
      <w:pPr>
        <w:jc w:val="both"/>
      </w:pPr>
    </w:p>
    <w:p w:rsidR="0075582F" w:rsidRPr="009C6450" w:rsidRDefault="0075582F" w:rsidP="0075582F">
      <w:pPr>
        <w:jc w:val="both"/>
      </w:pPr>
    </w:p>
    <w:p w:rsidR="0075582F" w:rsidRPr="009C6450" w:rsidRDefault="0075582F" w:rsidP="0075582F">
      <w:pPr>
        <w:tabs>
          <w:tab w:val="left" w:pos="1418"/>
        </w:tabs>
        <w:autoSpaceDE w:val="0"/>
        <w:autoSpaceDN w:val="0"/>
        <w:adjustRightInd w:val="0"/>
        <w:jc w:val="both"/>
        <w:rPr>
          <w:b/>
          <w:i/>
        </w:rPr>
      </w:pPr>
      <w:r w:rsidRPr="009C6450">
        <w:rPr>
          <w:b/>
          <w:i/>
        </w:rPr>
        <w:t>Otros Activos no Circulantes</w:t>
      </w:r>
    </w:p>
    <w:p w:rsidR="0075582F" w:rsidRPr="009C6450" w:rsidRDefault="0075582F" w:rsidP="0075582F">
      <w:pPr>
        <w:tabs>
          <w:tab w:val="left" w:pos="1418"/>
        </w:tabs>
        <w:autoSpaceDE w:val="0"/>
        <w:autoSpaceDN w:val="0"/>
        <w:adjustRightInd w:val="0"/>
        <w:jc w:val="both"/>
      </w:pPr>
    </w:p>
    <w:p w:rsidR="0075582F" w:rsidRPr="009C6450" w:rsidRDefault="0075582F" w:rsidP="0075582F">
      <w:pPr>
        <w:autoSpaceDE w:val="0"/>
        <w:autoSpaceDN w:val="0"/>
        <w:adjustRightInd w:val="0"/>
        <w:jc w:val="both"/>
      </w:pPr>
      <w:r w:rsidRPr="009C6450">
        <w:t>Los otros activos no circulantes, reflejan el valor de los bienes muebles de los organismos públicos, que se encuentran bajo contrato de arrendamiento</w:t>
      </w:r>
      <w:r>
        <w:t xml:space="preserve">. </w:t>
      </w:r>
      <w:r w:rsidRPr="009C6450">
        <w:t>Al 3</w:t>
      </w:r>
      <w:r>
        <w:t>0</w:t>
      </w:r>
      <w:r w:rsidRPr="009C6450">
        <w:t xml:space="preserve"> de </w:t>
      </w:r>
      <w:r>
        <w:t xml:space="preserve">junio </w:t>
      </w:r>
      <w:r w:rsidRPr="009C6450">
        <w:t>de 202</w:t>
      </w:r>
      <w:r>
        <w:t>1</w:t>
      </w:r>
      <w:r w:rsidRPr="009C6450">
        <w:t xml:space="preserve"> el saldo de este rubro asciende a </w:t>
      </w:r>
      <w:r>
        <w:t>3.2</w:t>
      </w:r>
      <w:r w:rsidRPr="009C6450">
        <w:t xml:space="preserve"> millones de pesos, representa el 0.</w:t>
      </w:r>
      <w:r>
        <w:t>2</w:t>
      </w:r>
      <w:r w:rsidRPr="009C6450">
        <w:t xml:space="preserve"> por ciento respecto al total del activo no circulante.</w:t>
      </w:r>
    </w:p>
    <w:p w:rsidR="0075582F" w:rsidRPr="009C6450" w:rsidRDefault="0075582F" w:rsidP="0075582F">
      <w:pPr>
        <w:autoSpaceDE w:val="0"/>
        <w:autoSpaceDN w:val="0"/>
        <w:adjustRightInd w:val="0"/>
        <w:jc w:val="center"/>
      </w:pPr>
    </w:p>
    <w:p w:rsidR="0075582F" w:rsidRDefault="0075582F" w:rsidP="0075582F">
      <w:pPr>
        <w:pBdr>
          <w:bottom w:val="single" w:sz="4" w:space="1" w:color="auto"/>
        </w:pBdr>
        <w:jc w:val="both"/>
        <w:rPr>
          <w:b/>
          <w:bCs/>
        </w:rPr>
      </w:pPr>
    </w:p>
    <w:p w:rsidR="0075582F" w:rsidRPr="009C6450" w:rsidRDefault="0075582F" w:rsidP="0075582F">
      <w:pPr>
        <w:pBdr>
          <w:bottom w:val="single" w:sz="4" w:space="1" w:color="auto"/>
        </w:pBdr>
        <w:jc w:val="center"/>
        <w:rPr>
          <w:b/>
          <w:bCs/>
        </w:rPr>
      </w:pPr>
      <w:r w:rsidRPr="00F2512B">
        <w:rPr>
          <w:noProof/>
          <w:lang w:eastAsia="es-MX"/>
        </w:rPr>
        <w:drawing>
          <wp:inline distT="0" distB="0" distL="0" distR="0" wp14:anchorId="6546AB31" wp14:editId="63226F35">
            <wp:extent cx="6124575" cy="82867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pBdr>
          <w:bottom w:val="single" w:sz="4" w:space="1" w:color="auto"/>
        </w:pBdr>
        <w:jc w:val="both"/>
        <w:rPr>
          <w:b/>
          <w:bCs/>
        </w:rPr>
      </w:pPr>
    </w:p>
    <w:p w:rsidR="0075582F" w:rsidRDefault="0075582F" w:rsidP="0075582F">
      <w:pPr>
        <w:pBdr>
          <w:bottom w:val="single" w:sz="4" w:space="1" w:color="auto"/>
        </w:pBdr>
        <w:jc w:val="both"/>
        <w:rPr>
          <w:b/>
          <w:bCs/>
        </w:rPr>
      </w:pPr>
    </w:p>
    <w:p w:rsidR="0075582F" w:rsidRPr="009C6450" w:rsidRDefault="0075582F" w:rsidP="0075582F">
      <w:pPr>
        <w:pBdr>
          <w:bottom w:val="single" w:sz="4" w:space="1" w:color="auto"/>
        </w:pBdr>
        <w:jc w:val="both"/>
        <w:rPr>
          <w:b/>
          <w:bCs/>
        </w:rPr>
      </w:pPr>
    </w:p>
    <w:p w:rsidR="0075582F" w:rsidRPr="009C6450" w:rsidRDefault="0075582F" w:rsidP="0075582F">
      <w:pPr>
        <w:pBdr>
          <w:bottom w:val="single" w:sz="4" w:space="1" w:color="auto"/>
        </w:pBdr>
        <w:jc w:val="both"/>
        <w:rPr>
          <w:b/>
          <w:bCs/>
        </w:rPr>
      </w:pPr>
      <w:r w:rsidRPr="009C6450">
        <w:rPr>
          <w:b/>
          <w:bCs/>
        </w:rPr>
        <w:t>PASIVO</w:t>
      </w:r>
    </w:p>
    <w:p w:rsidR="0075582F" w:rsidRPr="009C6450" w:rsidRDefault="0075582F" w:rsidP="0075582F">
      <w:pPr>
        <w:jc w:val="both"/>
      </w:pPr>
    </w:p>
    <w:p w:rsidR="0075582F" w:rsidRPr="009C6450" w:rsidRDefault="0075582F" w:rsidP="0075582F">
      <w:pPr>
        <w:autoSpaceDE w:val="0"/>
        <w:autoSpaceDN w:val="0"/>
        <w:adjustRightInd w:val="0"/>
        <w:jc w:val="both"/>
      </w:pPr>
      <w:r w:rsidRPr="009C6450">
        <w:t>Es el conjunto de cuentas que permite el registro de las obligaciones contraídas por los organismos públicos, para el desarrollo de sus funciones y la prestación de los servicios públicos. Al 3</w:t>
      </w:r>
      <w:r>
        <w:t>0</w:t>
      </w:r>
      <w:r w:rsidRPr="009C6450">
        <w:t xml:space="preserve"> de </w:t>
      </w:r>
      <w:r>
        <w:t xml:space="preserve">junio </w:t>
      </w:r>
      <w:r w:rsidRPr="009C6450">
        <w:t>de 202</w:t>
      </w:r>
      <w:r>
        <w:t>1</w:t>
      </w:r>
      <w:r w:rsidRPr="009C6450">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spacing w:after="60"/>
        <w:jc w:val="both"/>
        <w:rPr>
          <w:b/>
          <w:bCs/>
        </w:rPr>
      </w:pPr>
      <w:r w:rsidRPr="009C6450">
        <w:rPr>
          <w:b/>
          <w:bCs/>
          <w:noProof/>
          <w:lang w:eastAsia="es-MX"/>
        </w:rPr>
        <mc:AlternateContent>
          <mc:Choice Requires="wps">
            <w:drawing>
              <wp:anchor distT="0" distB="0" distL="114300" distR="114300" simplePos="0" relativeHeight="251659264" behindDoc="0" locked="0" layoutInCell="1" allowOverlap="1" wp14:anchorId="3B11407C" wp14:editId="1FE3B508">
                <wp:simplePos x="0" y="0"/>
                <wp:positionH relativeFrom="column">
                  <wp:posOffset>-3247390</wp:posOffset>
                </wp:positionH>
                <wp:positionV relativeFrom="paragraph">
                  <wp:posOffset>167005</wp:posOffset>
                </wp:positionV>
                <wp:extent cx="914400" cy="22860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82F" w:rsidRPr="00A53552" w:rsidRDefault="0075582F" w:rsidP="0075582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1407C" id="_x0000_t202" coordsize="21600,21600" o:spt="202" path="m,l,21600r21600,l21600,xe">
                <v:stroke joinstyle="miter"/>
                <v:path gradientshapeok="t" o:connecttype="rect"/>
              </v:shapetype>
              <v:shape id="Cuadro de texto 2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xYhA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h87sWIQCAAAXBQAADgAAAAAAAAAAAAAAAAAuAgAAZHJzL2Uyb0RvYy54bWxQSwECLQAUAAYACAAA&#10;ACEAFxRGR+AAAAALAQAADwAAAAAAAAAAAAAAAADeBAAAZHJzL2Rvd25yZXYueG1sUEsFBgAAAAAE&#10;AAQA8wAAAOsFAAAAAA==&#10;" stroked="f">
                <v:textbox>
                  <w:txbxContent>
                    <w:p w:rsidR="0075582F" w:rsidRPr="00A53552" w:rsidRDefault="0075582F" w:rsidP="0075582F">
                      <w:pPr>
                        <w:rPr>
                          <w:color w:val="FF0000"/>
                          <w:sz w:val="16"/>
                          <w:szCs w:val="16"/>
                        </w:rPr>
                      </w:pPr>
                      <w:r w:rsidRPr="00A53552">
                        <w:rPr>
                          <w:color w:val="FF0000"/>
                          <w:sz w:val="16"/>
                          <w:szCs w:val="16"/>
                        </w:rPr>
                        <w:t>Pendiente gráfica</w:t>
                      </w:r>
                    </w:p>
                  </w:txbxContent>
                </v:textbox>
              </v:shape>
            </w:pict>
          </mc:Fallback>
        </mc:AlternateContent>
      </w:r>
      <w:r w:rsidRPr="009C6450">
        <w:rPr>
          <w:b/>
          <w:bCs/>
        </w:rPr>
        <w:t>Pasivo Circulante</w:t>
      </w:r>
    </w:p>
    <w:p w:rsidR="0075582F" w:rsidRPr="009C6450" w:rsidRDefault="0075582F" w:rsidP="0075582F">
      <w:pPr>
        <w:pBdr>
          <w:top w:val="single" w:sz="4" w:space="1" w:color="C0C0C0"/>
        </w:pBdr>
        <w:autoSpaceDE w:val="0"/>
        <w:autoSpaceDN w:val="0"/>
        <w:adjustRightInd w:val="0"/>
        <w:rPr>
          <w:b/>
          <w:bCs/>
        </w:rPr>
      </w:pPr>
    </w:p>
    <w:p w:rsidR="0075582F" w:rsidRPr="009C6450" w:rsidRDefault="0075582F" w:rsidP="0075582F">
      <w:pPr>
        <w:pBdr>
          <w:top w:val="single" w:sz="4" w:space="1" w:color="C0C0C0"/>
        </w:pBdr>
        <w:autoSpaceDE w:val="0"/>
        <w:autoSpaceDN w:val="0"/>
        <w:adjustRightInd w:val="0"/>
        <w:jc w:val="both"/>
        <w:rPr>
          <w:b/>
          <w:bCs/>
          <w:i/>
          <w:iCs w:val="0"/>
        </w:rPr>
      </w:pPr>
      <w:r w:rsidRPr="009C6450">
        <w:rPr>
          <w:b/>
          <w:bCs/>
          <w:i/>
        </w:rPr>
        <w:t>Cuentas por Pagar a Corto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rPr>
          <w:bCs/>
          <w:iCs w:val="0"/>
        </w:rPr>
      </w:pPr>
      <w:r w:rsidRPr="009C6450">
        <w:rPr>
          <w:bCs/>
        </w:rPr>
        <w:t>Al 3</w:t>
      </w:r>
      <w:r>
        <w:rPr>
          <w:bCs/>
        </w:rPr>
        <w:t>0</w:t>
      </w:r>
      <w:r w:rsidRPr="009C6450">
        <w:rPr>
          <w:bCs/>
        </w:rPr>
        <w:t xml:space="preserve"> de </w:t>
      </w:r>
      <w:r>
        <w:rPr>
          <w:bCs/>
        </w:rPr>
        <w:t xml:space="preserve">junio </w:t>
      </w:r>
      <w:r w:rsidRPr="009C6450">
        <w:rPr>
          <w:bCs/>
        </w:rPr>
        <w:t>de 202</w:t>
      </w:r>
      <w:r>
        <w:rPr>
          <w:bCs/>
        </w:rPr>
        <w:t>1</w:t>
      </w:r>
      <w:r w:rsidRPr="009C6450">
        <w:rPr>
          <w:bCs/>
        </w:rPr>
        <w:t xml:space="preserve"> este rubro asciende a </w:t>
      </w:r>
      <w:r>
        <w:rPr>
          <w:bCs/>
        </w:rPr>
        <w:t>114.6</w:t>
      </w:r>
      <w:r w:rsidRPr="009C6450">
        <w:rPr>
          <w:bCs/>
        </w:rPr>
        <w:t xml:space="preserve"> millones de pesos, y representa el </w:t>
      </w:r>
      <w:r>
        <w:rPr>
          <w:bCs/>
        </w:rPr>
        <w:t>100</w:t>
      </w:r>
      <w:r w:rsidRPr="009C6450">
        <w:rPr>
          <w:bCs/>
        </w:rPr>
        <w:t xml:space="preserve"> por ciento del pasivo circulante.</w:t>
      </w:r>
    </w:p>
    <w:p w:rsidR="0075582F" w:rsidRPr="009C6450" w:rsidRDefault="0075582F" w:rsidP="0075582F">
      <w:pPr>
        <w:jc w:val="both"/>
        <w:outlineLvl w:val="0"/>
        <w:rPr>
          <w:bCs/>
          <w:iCs w:val="0"/>
        </w:rPr>
      </w:pPr>
    </w:p>
    <w:p w:rsidR="0075582F" w:rsidRPr="009C6450" w:rsidRDefault="0075582F" w:rsidP="0075582F">
      <w:pPr>
        <w:jc w:val="both"/>
        <w:outlineLvl w:val="0"/>
      </w:pPr>
      <w:r w:rsidRPr="009C6450">
        <w:rPr>
          <w:bCs/>
        </w:rPr>
        <w:t xml:space="preserve">Se integra </w:t>
      </w:r>
      <w:r w:rsidRPr="009C6450">
        <w:t>por los siguientes conceptos:</w:t>
      </w:r>
    </w:p>
    <w:p w:rsidR="0075582F" w:rsidRPr="009C6450" w:rsidRDefault="0075582F" w:rsidP="0075582F">
      <w:pPr>
        <w:jc w:val="both"/>
        <w:outlineLvl w:val="0"/>
      </w:pPr>
    </w:p>
    <w:p w:rsidR="0075582F" w:rsidRPr="009C6450" w:rsidRDefault="0075582F" w:rsidP="0075582F">
      <w:pPr>
        <w:pStyle w:val="Prrafodelista"/>
        <w:numPr>
          <w:ilvl w:val="0"/>
          <w:numId w:val="7"/>
        </w:numPr>
        <w:spacing w:after="120"/>
        <w:ind w:left="357" w:hanging="357"/>
        <w:contextualSpacing w:val="0"/>
        <w:jc w:val="both"/>
        <w:outlineLvl w:val="0"/>
        <w:rPr>
          <w:rFonts w:ascii="Arial" w:hAnsi="Arial"/>
          <w:sz w:val="20"/>
          <w:szCs w:val="20"/>
        </w:rPr>
      </w:pPr>
      <w:r w:rsidRPr="009C6450">
        <w:rPr>
          <w:rFonts w:ascii="Arial" w:hAnsi="Arial"/>
          <w:sz w:val="20"/>
          <w:szCs w:val="20"/>
        </w:rPr>
        <w:t xml:space="preserve">Por los compromisos contraídos por las entidades por la adquisición de bienes de consumo e inventaríales y, por la contratación de servicios necesarios para su operatividad y </w:t>
      </w:r>
      <w:r>
        <w:rPr>
          <w:rFonts w:ascii="Arial" w:hAnsi="Arial"/>
          <w:sz w:val="20"/>
          <w:szCs w:val="20"/>
        </w:rPr>
        <w:t xml:space="preserve">que </w:t>
      </w:r>
      <w:r w:rsidRPr="009C6450">
        <w:rPr>
          <w:rFonts w:ascii="Arial" w:hAnsi="Arial"/>
          <w:sz w:val="20"/>
          <w:szCs w:val="20"/>
        </w:rPr>
        <w:t>se encuentran pendientes de pago.</w:t>
      </w:r>
    </w:p>
    <w:p w:rsidR="0075582F" w:rsidRPr="009C6450" w:rsidRDefault="0075582F" w:rsidP="0075582F">
      <w:pPr>
        <w:pStyle w:val="Prrafodelista"/>
        <w:numPr>
          <w:ilvl w:val="0"/>
          <w:numId w:val="7"/>
        </w:numPr>
        <w:spacing w:after="120"/>
        <w:ind w:left="357" w:hanging="357"/>
        <w:contextualSpacing w:val="0"/>
        <w:jc w:val="both"/>
        <w:outlineLvl w:val="0"/>
        <w:rPr>
          <w:rFonts w:ascii="Arial" w:hAnsi="Arial"/>
          <w:sz w:val="20"/>
          <w:szCs w:val="20"/>
        </w:rPr>
      </w:pPr>
      <w:r w:rsidRPr="009C6450">
        <w:rPr>
          <w:rFonts w:ascii="Arial" w:hAnsi="Arial"/>
          <w:sz w:val="20"/>
          <w:szCs w:val="20"/>
        </w:rPr>
        <w:t>Por el registro de las retenciones por servicios personales: cuotas IMSS e INFONAVIT, además, por las retenciones y contribuciones a favor de terceros: ISSS, 2 por ciento sobre nóminas a prestadores de servicios, créditos de vivienda INFONAVIT, IVA y el ISR por honorarios; por las retenciones efectuadas a los contratistas por: 1 por ciento de aportación al Estado para obras de beneficio social y 5 al millar de inspección y vigilancia y otras retenciones.</w:t>
      </w:r>
    </w:p>
    <w:p w:rsidR="0075582F" w:rsidRPr="009C6450" w:rsidRDefault="0075582F" w:rsidP="0075582F">
      <w:pPr>
        <w:jc w:val="both"/>
        <w:outlineLvl w:val="0"/>
        <w:rPr>
          <w:noProof/>
          <w:lang w:eastAsia="es-MX"/>
        </w:rPr>
      </w:pPr>
    </w:p>
    <w:p w:rsidR="0075582F" w:rsidRPr="009C6450" w:rsidRDefault="0075582F" w:rsidP="0075582F">
      <w:pPr>
        <w:jc w:val="center"/>
        <w:outlineLvl w:val="0"/>
        <w:rPr>
          <w:noProof/>
          <w:lang w:eastAsia="es-MX"/>
        </w:rPr>
      </w:pPr>
      <w:r w:rsidRPr="00F2512B">
        <w:rPr>
          <w:noProof/>
          <w:lang w:eastAsia="es-MX"/>
        </w:rPr>
        <w:lastRenderedPageBreak/>
        <w:drawing>
          <wp:inline distT="0" distB="0" distL="0" distR="0" wp14:anchorId="7DA4C187" wp14:editId="34A15F24">
            <wp:extent cx="6124575" cy="13144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75582F" w:rsidRPr="009C6450" w:rsidRDefault="0075582F" w:rsidP="0075582F">
      <w:pPr>
        <w:outlineLvl w:val="0"/>
      </w:pPr>
    </w:p>
    <w:p w:rsidR="0075582F" w:rsidRPr="009C6450" w:rsidRDefault="0075582F" w:rsidP="0075582F">
      <w:pPr>
        <w:outlineLvl w:val="0"/>
      </w:pPr>
    </w:p>
    <w:p w:rsidR="0075582F" w:rsidRPr="009C6450" w:rsidRDefault="0075582F" w:rsidP="0075582F">
      <w:pPr>
        <w:tabs>
          <w:tab w:val="left" w:pos="1418"/>
        </w:tabs>
        <w:autoSpaceDE w:val="0"/>
        <w:autoSpaceDN w:val="0"/>
        <w:adjustRightInd w:val="0"/>
        <w:jc w:val="both"/>
        <w:rPr>
          <w:b/>
          <w:i/>
        </w:rPr>
      </w:pPr>
      <w:r w:rsidRPr="009C6450">
        <w:rPr>
          <w:b/>
          <w:i/>
        </w:rPr>
        <w:t>Pasivos Diferidos a Corto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rPr>
          <w:color w:val="FF0000"/>
        </w:rPr>
      </w:pPr>
      <w:r w:rsidRPr="009C6450">
        <w:t xml:space="preserve">El saldo en este rubro, se integra por las obligaciones adquiridas con recursos propios, como anticipo de clientes. </w:t>
      </w:r>
    </w:p>
    <w:p w:rsidR="0075582F" w:rsidRPr="009C6450" w:rsidRDefault="0075582F" w:rsidP="0075582F">
      <w:pPr>
        <w:jc w:val="both"/>
        <w:outlineLvl w:val="0"/>
      </w:pPr>
    </w:p>
    <w:p w:rsidR="0075582F" w:rsidRPr="009C6450" w:rsidRDefault="0075582F" w:rsidP="0075582F">
      <w:pPr>
        <w:jc w:val="center"/>
        <w:outlineLvl w:val="0"/>
      </w:pPr>
      <w:r w:rsidRPr="00F2512B">
        <w:rPr>
          <w:noProof/>
          <w:lang w:eastAsia="es-MX"/>
        </w:rPr>
        <w:drawing>
          <wp:inline distT="0" distB="0" distL="0" distR="0" wp14:anchorId="2DCBAEBD" wp14:editId="79FB4726">
            <wp:extent cx="6124575" cy="82867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Fondos y Bienes de Terceros en Garantía y/o Administración a Corto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t>E</w:t>
      </w:r>
      <w:r w:rsidRPr="009C6450">
        <w:t xml:space="preserve">ste rubro se integra por los depósitos recibidos en garantía </w:t>
      </w:r>
      <w:r>
        <w:t xml:space="preserve">de arrendamientos de los locales comerciales que están ubicados en la planta baja del edificio anexo en el </w:t>
      </w:r>
      <w:proofErr w:type="spellStart"/>
      <w:r>
        <w:t>food</w:t>
      </w:r>
      <w:proofErr w:type="spellEnd"/>
      <w:r>
        <w:t xml:space="preserve"> </w:t>
      </w:r>
      <w:proofErr w:type="spellStart"/>
      <w:r>
        <w:t>court</w:t>
      </w:r>
      <w:proofErr w:type="spellEnd"/>
      <w:r>
        <w:t xml:space="preserve"> de la Torre Chiapas.</w:t>
      </w:r>
    </w:p>
    <w:p w:rsidR="0075582F" w:rsidRPr="009C6450" w:rsidRDefault="0075582F" w:rsidP="0075582F">
      <w:pPr>
        <w:jc w:val="both"/>
        <w:outlineLvl w:val="0"/>
      </w:pPr>
    </w:p>
    <w:p w:rsidR="0075582F" w:rsidRPr="009C6450" w:rsidRDefault="0075582F" w:rsidP="0075582F">
      <w:pPr>
        <w:jc w:val="center"/>
        <w:outlineLvl w:val="0"/>
      </w:pPr>
      <w:r w:rsidRPr="00F2512B">
        <w:rPr>
          <w:noProof/>
          <w:lang w:eastAsia="es-MX"/>
        </w:rPr>
        <w:drawing>
          <wp:inline distT="0" distB="0" distL="0" distR="0" wp14:anchorId="37E56960" wp14:editId="7708695B">
            <wp:extent cx="6124575" cy="8286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Default="0075582F" w:rsidP="0075582F">
      <w:pPr>
        <w:jc w:val="both"/>
        <w:outlineLvl w:val="0"/>
      </w:pPr>
    </w:p>
    <w:p w:rsidR="0075582F" w:rsidRPr="009C6450" w:rsidRDefault="0075582F" w:rsidP="0075582F">
      <w:pPr>
        <w:autoSpaceDE w:val="0"/>
        <w:autoSpaceDN w:val="0"/>
        <w:adjustRightInd w:val="0"/>
        <w:spacing w:after="60"/>
        <w:ind w:right="3221"/>
        <w:jc w:val="both"/>
        <w:rPr>
          <w:b/>
          <w:bCs/>
        </w:rPr>
      </w:pPr>
      <w:r w:rsidRPr="009C6450">
        <w:rPr>
          <w:noProof/>
          <w:lang w:eastAsia="es-MX"/>
        </w:rPr>
        <mc:AlternateContent>
          <mc:Choice Requires="wps">
            <w:drawing>
              <wp:anchor distT="0" distB="0" distL="114300" distR="114300" simplePos="0" relativeHeight="251660288" behindDoc="0" locked="0" layoutInCell="1" allowOverlap="1" wp14:anchorId="18BEADF7" wp14:editId="66249167">
                <wp:simplePos x="0" y="0"/>
                <wp:positionH relativeFrom="column">
                  <wp:posOffset>-3247390</wp:posOffset>
                </wp:positionH>
                <wp:positionV relativeFrom="paragraph">
                  <wp:posOffset>167005</wp:posOffset>
                </wp:positionV>
                <wp:extent cx="914400" cy="228600"/>
                <wp:effectExtent l="0" t="0" r="0" b="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82F" w:rsidRPr="00A53552" w:rsidRDefault="0075582F" w:rsidP="0075582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EADF7" id="Cuadro de texto 34" o:spid="_x0000_s1027"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iiAIAAB4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" stroked="f">
                <v:textbox>
                  <w:txbxContent>
                    <w:p w:rsidR="0075582F" w:rsidRPr="00A53552" w:rsidRDefault="0075582F" w:rsidP="0075582F">
                      <w:pPr>
                        <w:rPr>
                          <w:color w:val="FF0000"/>
                          <w:sz w:val="16"/>
                          <w:szCs w:val="16"/>
                        </w:rPr>
                      </w:pPr>
                      <w:r w:rsidRPr="00A53552">
                        <w:rPr>
                          <w:color w:val="FF0000"/>
                          <w:sz w:val="16"/>
                          <w:szCs w:val="16"/>
                        </w:rPr>
                        <w:t>Pendiente gráfica</w:t>
                      </w:r>
                    </w:p>
                  </w:txbxContent>
                </v:textbox>
              </v:shape>
            </w:pict>
          </mc:Fallback>
        </mc:AlternateContent>
      </w:r>
      <w:r w:rsidRPr="009C6450">
        <w:rPr>
          <w:b/>
          <w:bCs/>
        </w:rPr>
        <w:t>Pasivo no Circulante</w:t>
      </w:r>
    </w:p>
    <w:p w:rsidR="0075582F" w:rsidRPr="009C6450" w:rsidRDefault="0075582F" w:rsidP="0075582F">
      <w:pPr>
        <w:pBdr>
          <w:top w:val="single" w:sz="4" w:space="1" w:color="C0C0C0"/>
        </w:pBdr>
        <w:autoSpaceDE w:val="0"/>
        <w:autoSpaceDN w:val="0"/>
        <w:adjustRightInd w:val="0"/>
        <w:jc w:val="both"/>
        <w:rPr>
          <w:b/>
          <w:bCs/>
        </w:rPr>
      </w:pPr>
    </w:p>
    <w:p w:rsidR="0075582F" w:rsidRPr="009C6450" w:rsidRDefault="0075582F" w:rsidP="0075582F">
      <w:pPr>
        <w:pBdr>
          <w:top w:val="single" w:sz="4" w:space="1" w:color="C0C0C0"/>
        </w:pBdr>
        <w:autoSpaceDE w:val="0"/>
        <w:autoSpaceDN w:val="0"/>
        <w:adjustRightInd w:val="0"/>
        <w:jc w:val="center"/>
        <w:rPr>
          <w:b/>
          <w:bCs/>
          <w:noProof/>
          <w:lang w:eastAsia="es-MX"/>
        </w:rPr>
      </w:pPr>
      <w:r>
        <w:rPr>
          <w:noProof/>
          <w:lang w:eastAsia="es-MX"/>
        </w:rPr>
        <w:drawing>
          <wp:inline distT="0" distB="0" distL="0" distR="0" wp14:anchorId="23EB10DC" wp14:editId="0BF285BE">
            <wp:extent cx="6667500" cy="2228850"/>
            <wp:effectExtent l="0" t="0" r="0" b="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582F" w:rsidRPr="009C6450" w:rsidRDefault="0075582F" w:rsidP="0075582F">
      <w:pPr>
        <w:pBdr>
          <w:top w:val="single" w:sz="4" w:space="1" w:color="C0C0C0"/>
        </w:pBdr>
        <w:autoSpaceDE w:val="0"/>
        <w:autoSpaceDN w:val="0"/>
        <w:adjustRightInd w:val="0"/>
        <w:jc w:val="both"/>
        <w:rPr>
          <w:b/>
          <w:bCs/>
        </w:rPr>
      </w:pPr>
    </w:p>
    <w:p w:rsidR="0075582F" w:rsidRPr="009C6450" w:rsidRDefault="0075582F" w:rsidP="0075582F">
      <w:pPr>
        <w:tabs>
          <w:tab w:val="left" w:pos="1418"/>
        </w:tabs>
        <w:autoSpaceDE w:val="0"/>
        <w:autoSpaceDN w:val="0"/>
        <w:adjustRightInd w:val="0"/>
        <w:jc w:val="both"/>
        <w:rPr>
          <w:b/>
          <w:i/>
        </w:rPr>
      </w:pPr>
      <w:r w:rsidRPr="009C6450">
        <w:rPr>
          <w:b/>
          <w:i/>
        </w:rPr>
        <w:t>Cuentas por Pagar a Largo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rsidRPr="009C6450">
        <w:t>Este rubro del pasivo, refleja el registro de los compromisos contraídos a largo plazo, por la adquisición de bienes de consumo inventaríales y por la contratación de servicios con proveedores.</w:t>
      </w:r>
    </w:p>
    <w:p w:rsidR="0075582F" w:rsidRPr="009C6450" w:rsidRDefault="0075582F" w:rsidP="0075582F">
      <w:pPr>
        <w:jc w:val="both"/>
        <w:outlineLvl w:val="0"/>
      </w:pPr>
      <w:r w:rsidRPr="009C6450">
        <w:lastRenderedPageBreak/>
        <w:t>Al 3</w:t>
      </w:r>
      <w:r>
        <w:t>0</w:t>
      </w:r>
      <w:r w:rsidRPr="009C6450">
        <w:t xml:space="preserve"> de </w:t>
      </w:r>
      <w:r>
        <w:t xml:space="preserve">junio </w:t>
      </w:r>
      <w:r w:rsidRPr="009C6450">
        <w:t>de 202</w:t>
      </w:r>
      <w:r>
        <w:t>1</w:t>
      </w:r>
      <w:r w:rsidRPr="009C6450">
        <w:t>, este rubro asciende a 29.8</w:t>
      </w:r>
      <w:r w:rsidRPr="009C6450">
        <w:rPr>
          <w:bCs/>
        </w:rPr>
        <w:t xml:space="preserve"> millones de pesos y representa el 1</w:t>
      </w:r>
      <w:r>
        <w:rPr>
          <w:bCs/>
        </w:rPr>
        <w:t>4</w:t>
      </w:r>
      <w:r w:rsidRPr="009C6450">
        <w:rPr>
          <w:bCs/>
        </w:rPr>
        <w:t>.</w:t>
      </w:r>
      <w:r>
        <w:rPr>
          <w:bCs/>
        </w:rPr>
        <w:t>4</w:t>
      </w:r>
      <w:r w:rsidRPr="009C6450">
        <w:rPr>
          <w:bCs/>
        </w:rPr>
        <w:t xml:space="preserve"> por ciento del pasivo no circulante.</w:t>
      </w:r>
    </w:p>
    <w:p w:rsidR="0075582F" w:rsidRPr="009C6450" w:rsidRDefault="0075582F" w:rsidP="0075582F">
      <w:pPr>
        <w:jc w:val="both"/>
        <w:outlineLvl w:val="0"/>
      </w:pPr>
    </w:p>
    <w:p w:rsidR="0075582F" w:rsidRPr="009C6450" w:rsidRDefault="0075582F" w:rsidP="0075582F">
      <w:pPr>
        <w:jc w:val="center"/>
        <w:outlineLvl w:val="0"/>
        <w:rPr>
          <w:bCs/>
          <w:iCs w:val="0"/>
        </w:rPr>
      </w:pPr>
      <w:r w:rsidRPr="00F2512B">
        <w:rPr>
          <w:noProof/>
          <w:lang w:eastAsia="es-MX"/>
        </w:rPr>
        <w:drawing>
          <wp:inline distT="0" distB="0" distL="0" distR="0" wp14:anchorId="720177E0" wp14:editId="3D60D2DF">
            <wp:extent cx="6124575" cy="8286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Documentos por Pagar a Largo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rsidRPr="009C6450">
        <w:t>Este rubro al 3</w:t>
      </w:r>
      <w:r>
        <w:t>0</w:t>
      </w:r>
      <w:r w:rsidRPr="009C6450">
        <w:t xml:space="preserve"> de </w:t>
      </w:r>
      <w:r>
        <w:t xml:space="preserve">junio </w:t>
      </w:r>
      <w:r w:rsidRPr="009C6450">
        <w:t>de 202</w:t>
      </w:r>
      <w:r>
        <w:t>1</w:t>
      </w:r>
      <w:r w:rsidRPr="009C6450">
        <w:t xml:space="preserve"> asciende a 125.7 </w:t>
      </w:r>
      <w:r w:rsidRPr="009C6450">
        <w:rPr>
          <w:bCs/>
        </w:rPr>
        <w:t xml:space="preserve">millones de pesos y representa el </w:t>
      </w:r>
      <w:r>
        <w:rPr>
          <w:bCs/>
        </w:rPr>
        <w:t>60.6</w:t>
      </w:r>
      <w:r w:rsidRPr="009C6450">
        <w:rPr>
          <w:bCs/>
        </w:rPr>
        <w:t xml:space="preserve"> por ciento del pasivo no circulante, y representa los adeudos</w:t>
      </w:r>
      <w:r>
        <w:rPr>
          <w:bCs/>
        </w:rPr>
        <w:t xml:space="preserve"> </w:t>
      </w:r>
      <w:r w:rsidRPr="009C6450">
        <w:rPr>
          <w:bCs/>
        </w:rPr>
        <w:t>mayor a doce meses, cuyo origen proviene del pasivo a favor del Socio Gobierno del Estado de Chiapas por la aportación de los terrenos que actualmente ocupa el Aeropuerto Internacional de Palenque, Chiapas y que esta Sociedad tiene pendiente de reembolsar.</w:t>
      </w:r>
    </w:p>
    <w:p w:rsidR="0075582F" w:rsidRPr="009C6450" w:rsidRDefault="0075582F" w:rsidP="0075582F">
      <w:pPr>
        <w:jc w:val="both"/>
        <w:outlineLvl w:val="0"/>
      </w:pPr>
    </w:p>
    <w:p w:rsidR="0075582F" w:rsidRPr="009C6450" w:rsidRDefault="0075582F" w:rsidP="0075582F">
      <w:pPr>
        <w:jc w:val="center"/>
        <w:outlineLvl w:val="0"/>
        <w:rPr>
          <w:bCs/>
          <w:iCs w:val="0"/>
        </w:rPr>
      </w:pPr>
      <w:r w:rsidRPr="00F2512B">
        <w:rPr>
          <w:noProof/>
          <w:lang w:eastAsia="es-MX"/>
        </w:rPr>
        <w:drawing>
          <wp:inline distT="0" distB="0" distL="0" distR="0" wp14:anchorId="468690A6" wp14:editId="33680FC4">
            <wp:extent cx="6124575" cy="828675"/>
            <wp:effectExtent l="0" t="0" r="9525" b="952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Deuda Pública a Largo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rsidRPr="009C6450">
        <w:t>Este rubro al 3</w:t>
      </w:r>
      <w:r>
        <w:t>0</w:t>
      </w:r>
      <w:r w:rsidRPr="009C6450">
        <w:t xml:space="preserve"> de </w:t>
      </w:r>
      <w:r>
        <w:t xml:space="preserve">junio </w:t>
      </w:r>
      <w:r w:rsidRPr="009C6450">
        <w:t>de 202</w:t>
      </w:r>
      <w:r>
        <w:t>1</w:t>
      </w:r>
      <w:r w:rsidRPr="009C6450">
        <w:t xml:space="preserve"> asciende a </w:t>
      </w:r>
      <w:r>
        <w:t>3.2</w:t>
      </w:r>
      <w:r w:rsidRPr="009C6450">
        <w:t xml:space="preserve"> </w:t>
      </w:r>
      <w:r w:rsidRPr="009C6450">
        <w:rPr>
          <w:bCs/>
        </w:rPr>
        <w:t xml:space="preserve">millones de pesos y representa el </w:t>
      </w:r>
      <w:r>
        <w:rPr>
          <w:bCs/>
        </w:rPr>
        <w:t>1.5</w:t>
      </w:r>
      <w:r w:rsidRPr="009C6450">
        <w:rPr>
          <w:bCs/>
        </w:rPr>
        <w:t xml:space="preserve"> por ciento del pasivo no circulante, </w:t>
      </w:r>
      <w:r>
        <w:rPr>
          <w:bCs/>
        </w:rPr>
        <w:t>derivado del contrato de arrendamiento financiero de equipos de transporte a cargo de la Sociedad Operadora del Aeropuerto Internacional Ángel Albino Corzo, S.A. de C.V.</w:t>
      </w:r>
    </w:p>
    <w:p w:rsidR="0075582F" w:rsidRPr="009C6450" w:rsidRDefault="0075582F" w:rsidP="0075582F">
      <w:pPr>
        <w:jc w:val="both"/>
        <w:outlineLvl w:val="0"/>
      </w:pPr>
    </w:p>
    <w:p w:rsidR="0075582F" w:rsidRPr="009C6450" w:rsidRDefault="0075582F" w:rsidP="0075582F">
      <w:pPr>
        <w:jc w:val="center"/>
        <w:outlineLvl w:val="0"/>
        <w:rPr>
          <w:bCs/>
          <w:iCs w:val="0"/>
        </w:rPr>
      </w:pPr>
      <w:r w:rsidRPr="00F2512B">
        <w:rPr>
          <w:noProof/>
          <w:lang w:eastAsia="es-MX"/>
        </w:rPr>
        <w:drawing>
          <wp:inline distT="0" distB="0" distL="0" distR="0" wp14:anchorId="3A31956A" wp14:editId="1B3DDABA">
            <wp:extent cx="6124575" cy="82867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Pasivos Diferidos a Largo Plazo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rsidRPr="009C6450">
        <w:t>Este rubro al 3</w:t>
      </w:r>
      <w:r>
        <w:t>0</w:t>
      </w:r>
      <w:r w:rsidRPr="009C6450">
        <w:t xml:space="preserve"> de </w:t>
      </w:r>
      <w:r>
        <w:t xml:space="preserve">junio </w:t>
      </w:r>
      <w:r w:rsidRPr="009C6450">
        <w:t>de 202</w:t>
      </w:r>
      <w:r>
        <w:t>1</w:t>
      </w:r>
      <w:r w:rsidRPr="009C6450">
        <w:t xml:space="preserve"> asciende a </w:t>
      </w:r>
      <w:r>
        <w:t>41.6</w:t>
      </w:r>
      <w:r w:rsidRPr="009C6450">
        <w:t xml:space="preserve"> millones de pesos y representa el </w:t>
      </w:r>
      <w:r>
        <w:t>20.1</w:t>
      </w:r>
      <w:r w:rsidRPr="009C6450">
        <w:t xml:space="preserve"> por ciento del pasivo no circulante, está integrado por los </w:t>
      </w:r>
      <w:r>
        <w:t>pagos pendientes a diversos proveedores, así como a las retenciones y contribuciones de años anteriores.</w:t>
      </w:r>
    </w:p>
    <w:p w:rsidR="0075582F" w:rsidRPr="009C6450" w:rsidRDefault="0075582F" w:rsidP="0075582F">
      <w:pPr>
        <w:jc w:val="both"/>
        <w:outlineLvl w:val="0"/>
      </w:pPr>
    </w:p>
    <w:p w:rsidR="0075582F" w:rsidRPr="009C6450" w:rsidRDefault="0075582F" w:rsidP="0075582F">
      <w:pPr>
        <w:jc w:val="center"/>
        <w:outlineLvl w:val="0"/>
        <w:rPr>
          <w:bCs/>
          <w:iCs w:val="0"/>
        </w:rPr>
      </w:pPr>
      <w:r w:rsidRPr="00F2512B">
        <w:rPr>
          <w:noProof/>
          <w:lang w:eastAsia="es-MX"/>
        </w:rPr>
        <w:drawing>
          <wp:inline distT="0" distB="0" distL="0" distR="0" wp14:anchorId="2EFCD588" wp14:editId="34989295">
            <wp:extent cx="6124575" cy="82867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4575" cy="828675"/>
                    </a:xfrm>
                    <a:prstGeom prst="rect">
                      <a:avLst/>
                    </a:prstGeom>
                    <a:noFill/>
                    <a:ln>
                      <a:noFill/>
                    </a:ln>
                  </pic:spPr>
                </pic:pic>
              </a:graphicData>
            </a:graphic>
          </wp:inline>
        </w:drawing>
      </w:r>
    </w:p>
    <w:p w:rsidR="0075582F" w:rsidRPr="009C6450" w:rsidRDefault="0075582F" w:rsidP="0075582F">
      <w:pPr>
        <w:jc w:val="both"/>
        <w:outlineLvl w:val="0"/>
        <w:rPr>
          <w:bCs/>
          <w:iCs w:val="0"/>
        </w:rPr>
      </w:pPr>
    </w:p>
    <w:p w:rsidR="0075582F" w:rsidRPr="009C6450" w:rsidRDefault="0075582F" w:rsidP="0075582F">
      <w:pPr>
        <w:jc w:val="both"/>
        <w:outlineLvl w:val="0"/>
        <w:rPr>
          <w:bCs/>
          <w:iCs w:val="0"/>
        </w:rPr>
      </w:pPr>
    </w:p>
    <w:p w:rsidR="0075582F" w:rsidRPr="009C6450" w:rsidRDefault="0075582F" w:rsidP="0075582F">
      <w:pPr>
        <w:tabs>
          <w:tab w:val="left" w:pos="1418"/>
        </w:tabs>
        <w:autoSpaceDE w:val="0"/>
        <w:autoSpaceDN w:val="0"/>
        <w:adjustRightInd w:val="0"/>
        <w:jc w:val="both"/>
        <w:rPr>
          <w:b/>
          <w:i/>
        </w:rPr>
      </w:pPr>
      <w:r w:rsidRPr="009C6450">
        <w:rPr>
          <w:b/>
          <w:i/>
        </w:rPr>
        <w:t>Fondos y Bienes de Terceros en Garantía y/o Administración a Largo Plazo</w:t>
      </w:r>
    </w:p>
    <w:p w:rsidR="0075582F" w:rsidRPr="009C6450" w:rsidRDefault="0075582F" w:rsidP="0075582F">
      <w:pPr>
        <w:tabs>
          <w:tab w:val="left" w:pos="1418"/>
        </w:tabs>
        <w:autoSpaceDE w:val="0"/>
        <w:autoSpaceDN w:val="0"/>
        <w:adjustRightInd w:val="0"/>
        <w:jc w:val="both"/>
        <w:rPr>
          <w:b/>
          <w:i/>
        </w:rPr>
      </w:pPr>
    </w:p>
    <w:p w:rsidR="0075582F" w:rsidRPr="00B548BD" w:rsidRDefault="0075582F" w:rsidP="0075582F">
      <w:pPr>
        <w:jc w:val="both"/>
        <w:outlineLvl w:val="0"/>
      </w:pPr>
      <w:r w:rsidRPr="009C6450">
        <w:t xml:space="preserve">A </w:t>
      </w:r>
      <w:r>
        <w:t>7.1</w:t>
      </w:r>
      <w:r w:rsidRPr="009C6450">
        <w:t xml:space="preserve"> millones de pesos asciende este rubro al 3</w:t>
      </w:r>
      <w:r>
        <w:t>0</w:t>
      </w:r>
      <w:r w:rsidRPr="009C6450">
        <w:t xml:space="preserve"> de </w:t>
      </w:r>
      <w:r>
        <w:t xml:space="preserve">junio </w:t>
      </w:r>
      <w:r w:rsidRPr="009C6450">
        <w:t>del ejercicio 202</w:t>
      </w:r>
      <w:r>
        <w:t>1</w:t>
      </w:r>
      <w:r w:rsidRPr="009C6450">
        <w:t xml:space="preserve"> y corresponde a los fondos de las Entidades Paraestatales Empresariales no Financieras con Participación Estatal Mayoritaria, recibidos para su administración de los depósitos en garantía recibidos por el arrendamiento de locales comerciales y los anticipos de clientes por los </w:t>
      </w:r>
      <w:r w:rsidRPr="009C6450">
        <w:lastRenderedPageBreak/>
        <w:t xml:space="preserve">servicios aeroportuarios y comerciales que se otorgan en los aeropuertos de Palenque e Internacional Ángel Albino Corzo. Este rubro representa el </w:t>
      </w:r>
      <w:r>
        <w:t>3.4</w:t>
      </w:r>
      <w:r w:rsidRPr="009C6450">
        <w:t xml:space="preserve"> por ciento del pasivo no circulante</w:t>
      </w:r>
      <w:r w:rsidRPr="00B548BD">
        <w:t>.</w:t>
      </w:r>
    </w:p>
    <w:p w:rsidR="0075582F" w:rsidRPr="009C6450" w:rsidRDefault="0075582F" w:rsidP="0075582F">
      <w:pPr>
        <w:tabs>
          <w:tab w:val="left" w:pos="1418"/>
        </w:tabs>
        <w:autoSpaceDE w:val="0"/>
        <w:autoSpaceDN w:val="0"/>
        <w:adjustRightInd w:val="0"/>
        <w:jc w:val="both"/>
      </w:pPr>
    </w:p>
    <w:p w:rsidR="0075582F" w:rsidRPr="009C6450" w:rsidRDefault="0075582F" w:rsidP="0075582F">
      <w:pPr>
        <w:jc w:val="center"/>
        <w:outlineLvl w:val="0"/>
      </w:pPr>
      <w:r w:rsidRPr="00F2512B">
        <w:rPr>
          <w:noProof/>
          <w:lang w:eastAsia="es-MX"/>
        </w:rPr>
        <w:drawing>
          <wp:inline distT="0" distB="0" distL="0" distR="0" wp14:anchorId="5C3C1F3D" wp14:editId="09876172">
            <wp:extent cx="6124575" cy="131445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4575" cy="1314450"/>
                    </a:xfrm>
                    <a:prstGeom prst="rect">
                      <a:avLst/>
                    </a:prstGeom>
                    <a:noFill/>
                    <a:ln>
                      <a:noFill/>
                    </a:ln>
                  </pic:spPr>
                </pic:pic>
              </a:graphicData>
            </a:graphic>
          </wp:inline>
        </w:drawing>
      </w:r>
    </w:p>
    <w:p w:rsidR="0075582F"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rPr>
          <w:bCs/>
          <w:iCs w:val="0"/>
        </w:rPr>
      </w:pPr>
    </w:p>
    <w:p w:rsidR="0075582F" w:rsidRPr="009C6450" w:rsidRDefault="0075582F" w:rsidP="0075582F">
      <w:pPr>
        <w:pBdr>
          <w:bottom w:val="single" w:sz="12" w:space="1" w:color="BFBFBF" w:themeColor="background1" w:themeShade="BF"/>
        </w:pBdr>
        <w:ind w:left="2835" w:right="2835"/>
        <w:jc w:val="center"/>
        <w:rPr>
          <w:b/>
          <w:bCs/>
          <w:caps/>
        </w:rPr>
      </w:pPr>
      <w:r w:rsidRPr="009C6450">
        <w:rPr>
          <w:b/>
          <w:bCs/>
          <w:caps/>
        </w:rPr>
        <w:t>AL ESTADO DE ACTIVIDADES</w:t>
      </w:r>
    </w:p>
    <w:p w:rsidR="0075582F" w:rsidRPr="009C6450" w:rsidRDefault="0075582F" w:rsidP="0075582F">
      <w:pPr>
        <w:jc w:val="both"/>
        <w:outlineLvl w:val="0"/>
      </w:pPr>
    </w:p>
    <w:p w:rsidR="0075582F" w:rsidRPr="009C6450" w:rsidRDefault="0075582F" w:rsidP="0075582F">
      <w:pPr>
        <w:jc w:val="both"/>
        <w:outlineLvl w:val="0"/>
      </w:pPr>
      <w:r w:rsidRPr="009C6450">
        <w:t>El resultado negativo obtenido del 1 de enero al 3</w:t>
      </w:r>
      <w:r>
        <w:t>0</w:t>
      </w:r>
      <w:r w:rsidRPr="009C6450">
        <w:t xml:space="preserve"> de </w:t>
      </w:r>
      <w:r>
        <w:t xml:space="preserve">junio </w:t>
      </w:r>
      <w:r w:rsidRPr="009C6450">
        <w:t>de 202</w:t>
      </w:r>
      <w:r>
        <w:t>1</w:t>
      </w:r>
      <w:r w:rsidRPr="009C6450">
        <w:t xml:space="preserve">, que asciende a </w:t>
      </w:r>
      <w:r>
        <w:t>30.2</w:t>
      </w:r>
      <w:r w:rsidRPr="009C6450">
        <w:t xml:space="preserve"> millones de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tabs>
          <w:tab w:val="left" w:pos="1418"/>
        </w:tabs>
        <w:autoSpaceDE w:val="0"/>
        <w:autoSpaceDN w:val="0"/>
        <w:adjustRightInd w:val="0"/>
        <w:jc w:val="both"/>
        <w:rPr>
          <w:b/>
          <w:i/>
        </w:rPr>
      </w:pPr>
      <w:r w:rsidRPr="009C6450">
        <w:rPr>
          <w:b/>
          <w:i/>
        </w:rPr>
        <w:t>Ingresos y Otros Beneficios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rsidRPr="009C6450">
        <w:t xml:space="preserve">Los ingresos ascienden a </w:t>
      </w:r>
      <w:r>
        <w:t>151.1</w:t>
      </w:r>
      <w:r w:rsidRPr="009C6450">
        <w:t xml:space="preserve"> millones de pesos, estos son originados principalmente por los ingresos propios por los servicios prestados por las entidades, los ingresos por la enajenación de bienes de las Entidades Paraestatales Empresariales con Participación Estatal Mayoritaria; también se registran los rendimientos obtenidos por inversiones financieras</w:t>
      </w:r>
      <w:r>
        <w:t>, así como los ingresos derivados de la Tarifa de Uso de Aeropuerto (TUA)</w:t>
      </w:r>
      <w:r w:rsidRPr="009C6450">
        <w:t xml:space="preserve">. </w:t>
      </w:r>
    </w:p>
    <w:p w:rsidR="0075582F" w:rsidRPr="009C6450" w:rsidRDefault="0075582F" w:rsidP="0075582F">
      <w:pPr>
        <w:jc w:val="both"/>
        <w:outlineLvl w:val="0"/>
      </w:pPr>
    </w:p>
    <w:p w:rsidR="0075582F" w:rsidRPr="009C6450" w:rsidRDefault="0075582F" w:rsidP="0075582F">
      <w:pPr>
        <w:tabs>
          <w:tab w:val="left" w:pos="1418"/>
        </w:tabs>
        <w:autoSpaceDE w:val="0"/>
        <w:autoSpaceDN w:val="0"/>
        <w:adjustRightInd w:val="0"/>
        <w:jc w:val="both"/>
        <w:rPr>
          <w:b/>
          <w:i/>
        </w:rPr>
      </w:pPr>
      <w:r w:rsidRPr="009C6450">
        <w:rPr>
          <w:b/>
          <w:i/>
        </w:rPr>
        <w:t>Gastos y Otras Pérdidas</w:t>
      </w:r>
    </w:p>
    <w:p w:rsidR="0075582F" w:rsidRPr="009C6450" w:rsidRDefault="0075582F" w:rsidP="0075582F">
      <w:pPr>
        <w:tabs>
          <w:tab w:val="left" w:pos="1418"/>
        </w:tabs>
        <w:autoSpaceDE w:val="0"/>
        <w:autoSpaceDN w:val="0"/>
        <w:adjustRightInd w:val="0"/>
        <w:jc w:val="both"/>
        <w:rPr>
          <w:b/>
          <w:i/>
        </w:rPr>
      </w:pPr>
    </w:p>
    <w:p w:rsidR="0075582F" w:rsidRPr="009C6450" w:rsidRDefault="0075582F" w:rsidP="0075582F">
      <w:pPr>
        <w:jc w:val="both"/>
        <w:outlineLvl w:val="0"/>
      </w:pPr>
      <w:r w:rsidRPr="009C6450">
        <w:t xml:space="preserve">Los gastos y otras pérdidas son aquellas cuentas que registran los gastos de funcionamiento de las Entidades Paraestatales Empresariales no Financieras con Participación Estatal Mayoritaria, </w:t>
      </w:r>
      <w:r>
        <w:t xml:space="preserve">como las </w:t>
      </w:r>
      <w:r w:rsidRPr="009C6450">
        <w:t>depreciaciones de bienes muebles</w:t>
      </w:r>
      <w:r>
        <w:t xml:space="preserve">, </w:t>
      </w:r>
      <w:r w:rsidRPr="009C6450">
        <w:t>inmuebles</w:t>
      </w:r>
      <w:r>
        <w:t xml:space="preserve"> e infraestructura</w:t>
      </w:r>
      <w:r w:rsidRPr="009C6450">
        <w:t xml:space="preserve">, </w:t>
      </w:r>
      <w:r>
        <w:t xml:space="preserve">comisiones bancarias, así como el registro de multas y recargos, </w:t>
      </w:r>
      <w:r w:rsidRPr="009C6450">
        <w:t xml:space="preserve">los cuales ascienden a un importe de </w:t>
      </w:r>
      <w:r>
        <w:t>181.3</w:t>
      </w:r>
      <w:r w:rsidRPr="009C6450">
        <w:t xml:space="preserve"> millones de pesos.</w:t>
      </w:r>
    </w:p>
    <w:p w:rsidR="0075582F" w:rsidRPr="009C6450" w:rsidRDefault="0075582F" w:rsidP="0075582F">
      <w:pPr>
        <w:jc w:val="both"/>
        <w:outlineLvl w:val="0"/>
      </w:pPr>
    </w:p>
    <w:p w:rsidR="0075582F" w:rsidRPr="009C6450" w:rsidRDefault="0075582F" w:rsidP="0075582F">
      <w:pPr>
        <w:jc w:val="both"/>
        <w:outlineLvl w:val="0"/>
      </w:pPr>
      <w:r w:rsidRPr="009C6450">
        <w:t>A continuación, se presenta la conciliación entre los ingresos presupuestarios y contables, así como, entre los egresos presupuestarios y los gastos contables:</w:t>
      </w:r>
    </w:p>
    <w:p w:rsidR="0075582F" w:rsidRPr="009C6450" w:rsidRDefault="0075582F" w:rsidP="0075582F">
      <w:pPr>
        <w:jc w:val="both"/>
        <w:outlineLvl w:val="0"/>
      </w:pPr>
    </w:p>
    <w:p w:rsidR="0075582F" w:rsidRPr="009C6450" w:rsidRDefault="0075582F" w:rsidP="0075582F">
      <w:pPr>
        <w:jc w:val="center"/>
        <w:outlineLvl w:val="0"/>
      </w:pPr>
    </w:p>
    <w:p w:rsidR="0075582F" w:rsidRPr="009C6450" w:rsidRDefault="0075582F" w:rsidP="0075582F">
      <w:pPr>
        <w:jc w:val="both"/>
        <w:outlineLvl w:val="0"/>
      </w:pPr>
    </w:p>
    <w:p w:rsidR="0075582F" w:rsidRDefault="0075582F" w:rsidP="0075582F">
      <w:pPr>
        <w:jc w:val="both"/>
        <w:outlineLvl w:val="0"/>
      </w:pPr>
      <w:r w:rsidRPr="00F2512B">
        <w:rPr>
          <w:noProof/>
          <w:lang w:eastAsia="es-MX"/>
        </w:rPr>
        <w:lastRenderedPageBreak/>
        <w:drawing>
          <wp:inline distT="0" distB="0" distL="0" distR="0" wp14:anchorId="29B216AD" wp14:editId="301CB088">
            <wp:extent cx="6692265" cy="3563654"/>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3563654"/>
                    </a:xfrm>
                    <a:prstGeom prst="rect">
                      <a:avLst/>
                    </a:prstGeom>
                    <a:noFill/>
                    <a:ln>
                      <a:noFill/>
                    </a:ln>
                  </pic:spPr>
                </pic:pic>
              </a:graphicData>
            </a:graphic>
          </wp:inline>
        </w:drawing>
      </w:r>
    </w:p>
    <w:p w:rsidR="0075582F" w:rsidRPr="0078053D" w:rsidRDefault="0075582F" w:rsidP="0075582F"/>
    <w:p w:rsidR="0075582F" w:rsidRPr="0078053D" w:rsidRDefault="0075582F" w:rsidP="0075582F"/>
    <w:p w:rsidR="0075582F" w:rsidRPr="0078053D" w:rsidRDefault="0075582F" w:rsidP="0075582F"/>
    <w:p w:rsidR="0075582F" w:rsidRPr="0078053D" w:rsidRDefault="0075582F" w:rsidP="0075582F"/>
    <w:p w:rsidR="0075582F" w:rsidRPr="0078053D" w:rsidRDefault="0075582F" w:rsidP="0075582F"/>
    <w:p w:rsidR="0075582F" w:rsidRPr="0078053D" w:rsidRDefault="0075582F" w:rsidP="0075582F"/>
    <w:p w:rsidR="0075582F" w:rsidRDefault="0075582F" w:rsidP="0075582F"/>
    <w:p w:rsidR="0075582F" w:rsidRPr="009C6450" w:rsidRDefault="0075582F" w:rsidP="0075582F">
      <w:pPr>
        <w:jc w:val="both"/>
        <w:outlineLvl w:val="0"/>
      </w:pPr>
      <w:r w:rsidRPr="00F2512B">
        <w:rPr>
          <w:noProof/>
          <w:lang w:eastAsia="es-MX"/>
        </w:rPr>
        <w:lastRenderedPageBreak/>
        <w:drawing>
          <wp:inline distT="0" distB="0" distL="0" distR="0" wp14:anchorId="57AD2866" wp14:editId="28F3A67A">
            <wp:extent cx="6692265" cy="684036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6840365"/>
                    </a:xfrm>
                    <a:prstGeom prst="rect">
                      <a:avLst/>
                    </a:prstGeom>
                    <a:noFill/>
                    <a:ln>
                      <a:noFill/>
                    </a:ln>
                  </pic:spPr>
                </pic:pic>
              </a:graphicData>
            </a:graphic>
          </wp:inline>
        </w:drawing>
      </w:r>
    </w:p>
    <w:p w:rsidR="0075582F" w:rsidRPr="009C6450" w:rsidRDefault="0075582F" w:rsidP="0075582F">
      <w:pPr>
        <w:jc w:val="both"/>
        <w:outlineLvl w:val="0"/>
      </w:pPr>
    </w:p>
    <w:p w:rsidR="0075582F" w:rsidRPr="009C6450" w:rsidRDefault="0075582F" w:rsidP="0075582F">
      <w:pPr>
        <w:spacing w:after="160" w:line="259" w:lineRule="auto"/>
      </w:pPr>
      <w:r w:rsidRPr="009C6450">
        <w:br w:type="page"/>
      </w:r>
    </w:p>
    <w:p w:rsidR="0075582F" w:rsidRPr="009C6450" w:rsidRDefault="0075582F" w:rsidP="0075582F">
      <w:pPr>
        <w:pBdr>
          <w:bottom w:val="single" w:sz="12" w:space="1" w:color="BFBFBF" w:themeColor="background1" w:themeShade="BF"/>
        </w:pBdr>
        <w:ind w:left="2835" w:right="2835"/>
        <w:jc w:val="center"/>
        <w:rPr>
          <w:b/>
          <w:bCs/>
          <w:caps/>
        </w:rPr>
      </w:pPr>
      <w:r w:rsidRPr="009C6450">
        <w:rPr>
          <w:b/>
          <w:bCs/>
          <w:caps/>
        </w:rPr>
        <w:lastRenderedPageBreak/>
        <w:t xml:space="preserve">AL ESTADO DE VARIACIón EN la hacienda pública </w:t>
      </w:r>
    </w:p>
    <w:p w:rsidR="0075582F" w:rsidRPr="009C6450" w:rsidRDefault="0075582F" w:rsidP="0075582F">
      <w:pPr>
        <w:jc w:val="both"/>
        <w:outlineLvl w:val="0"/>
      </w:pPr>
    </w:p>
    <w:p w:rsidR="0075582F" w:rsidRPr="009C6450" w:rsidRDefault="0075582F" w:rsidP="0075582F">
      <w:pPr>
        <w:jc w:val="both"/>
        <w:outlineLvl w:val="0"/>
      </w:pPr>
      <w:r w:rsidRPr="009C6450">
        <w:t xml:space="preserve">La Hacienda Pública representa el importe de los bienes y derechos que son propiedad de las Entidades Paraestatales Empresariales no Financieras con Participación Estatal Mayoritaria, dicho importe es modificado principalmente por el resultado negativo obtenido al periodo que se informa fue de </w:t>
      </w:r>
      <w:r>
        <w:t>30.2</w:t>
      </w:r>
      <w:r w:rsidRPr="009C6450">
        <w:t xml:space="preserve"> millones de pesos y representa el registro de operaciones de ejercicios anteriores por registro de baja de bienes por inservibles, por considerarse obsoletos de acuerdo a la normatividad contable vigente; a la fecha, la Hacienda Pública refleja un saldo de 2 mil .</w:t>
      </w:r>
      <w:r>
        <w:t>5</w:t>
      </w:r>
      <w:r w:rsidRPr="009C6450">
        <w:t xml:space="preserve"> millones de pesos.</w:t>
      </w:r>
    </w:p>
    <w:p w:rsidR="0075582F" w:rsidRPr="009C6450" w:rsidRDefault="0075582F" w:rsidP="0075582F">
      <w:pPr>
        <w:jc w:val="both"/>
        <w:outlineLvl w:val="0"/>
      </w:pPr>
    </w:p>
    <w:p w:rsidR="0075582F" w:rsidRPr="009C6450" w:rsidRDefault="0075582F" w:rsidP="0075582F">
      <w:pPr>
        <w:jc w:val="both"/>
        <w:outlineLvl w:val="0"/>
      </w:pPr>
      <w:r w:rsidRPr="009C6450">
        <w:t xml:space="preserve">Así también, es modificado por el aumento o disminución al patrimonio, derivado del registro de los incrementos o decrementos realizados al patrimonio de las Entidades Paraestatales Empresariales con Participación Estatal Mayoritaria. A la fecha que se informa la modificación neta a la baja al patrimonio es de </w:t>
      </w:r>
      <w:r>
        <w:t>31.0</w:t>
      </w:r>
      <w:r w:rsidRPr="009C6450">
        <w:t xml:space="preserve"> millones de pesos.</w:t>
      </w:r>
    </w:p>
    <w:p w:rsidR="0075582F" w:rsidRPr="009C6450" w:rsidRDefault="0075582F" w:rsidP="0075582F">
      <w:pPr>
        <w:jc w:val="both"/>
        <w:outlineLvl w:val="0"/>
      </w:pPr>
    </w:p>
    <w:p w:rsidR="0075582F" w:rsidRPr="009C6450" w:rsidRDefault="0075582F" w:rsidP="0075582F">
      <w:pPr>
        <w:jc w:val="both"/>
        <w:outlineLvl w:val="0"/>
      </w:pPr>
    </w:p>
    <w:p w:rsidR="0075582F" w:rsidRPr="009C6450" w:rsidRDefault="0075582F" w:rsidP="0075582F">
      <w:pPr>
        <w:pBdr>
          <w:bottom w:val="single" w:sz="12" w:space="1" w:color="BFBFBF" w:themeColor="background1" w:themeShade="BF"/>
        </w:pBdr>
        <w:ind w:left="2835" w:right="2835"/>
        <w:jc w:val="center"/>
        <w:rPr>
          <w:b/>
          <w:bCs/>
          <w:caps/>
        </w:rPr>
      </w:pPr>
      <w:r w:rsidRPr="009C6450">
        <w:rPr>
          <w:b/>
          <w:bCs/>
          <w:caps/>
        </w:rPr>
        <w:t>AL ESTADO de flujos de efectivo</w:t>
      </w:r>
    </w:p>
    <w:p w:rsidR="0075582F" w:rsidRPr="009C6450" w:rsidRDefault="0075582F" w:rsidP="0075582F">
      <w:pPr>
        <w:jc w:val="both"/>
        <w:outlineLvl w:val="0"/>
        <w:rPr>
          <w:highlight w:val="cyan"/>
        </w:rPr>
      </w:pPr>
    </w:p>
    <w:p w:rsidR="0075582F" w:rsidRPr="009C6450" w:rsidRDefault="0075582F" w:rsidP="0075582F">
      <w:pPr>
        <w:tabs>
          <w:tab w:val="left" w:pos="6840"/>
        </w:tabs>
        <w:jc w:val="both"/>
        <w:outlineLvl w:val="0"/>
      </w:pPr>
      <w:r w:rsidRPr="009C6450">
        <w:t>El Estado de Flujos de Efectivo de las Entidades Paraestatales Empresariales con Participación Estatal Mayoritaria, muestra los flujos de efectivo, conformado por los elementos básicos: origen y aplicación de los recursos.</w:t>
      </w:r>
    </w:p>
    <w:p w:rsidR="0075582F" w:rsidRPr="009C6450" w:rsidRDefault="0075582F" w:rsidP="0075582F">
      <w:pPr>
        <w:tabs>
          <w:tab w:val="left" w:pos="6840"/>
        </w:tabs>
        <w:jc w:val="both"/>
        <w:outlineLvl w:val="0"/>
      </w:pPr>
    </w:p>
    <w:p w:rsidR="0075582F" w:rsidRPr="009C6450" w:rsidRDefault="0075582F" w:rsidP="0075582F">
      <w:pPr>
        <w:tabs>
          <w:tab w:val="left" w:pos="6840"/>
        </w:tabs>
        <w:jc w:val="both"/>
        <w:outlineLvl w:val="0"/>
      </w:pPr>
      <w:r w:rsidRPr="009C6450">
        <w:t>La disminución neta en el efectivo y equivalentes al efectivo al 3</w:t>
      </w:r>
      <w:r>
        <w:t>0</w:t>
      </w:r>
      <w:r w:rsidRPr="009C6450">
        <w:t xml:space="preserve"> de </w:t>
      </w:r>
      <w:r>
        <w:t xml:space="preserve">junio </w:t>
      </w:r>
      <w:r w:rsidRPr="009C6450">
        <w:t>de 202</w:t>
      </w:r>
      <w:r>
        <w:t>1</w:t>
      </w:r>
      <w:r w:rsidRPr="009C6450">
        <w:t xml:space="preserve"> asciende a </w:t>
      </w:r>
      <w:r>
        <w:t>19.8</w:t>
      </w:r>
      <w:r w:rsidRPr="009C6450">
        <w:t xml:space="preserve"> millones de pesos.</w:t>
      </w:r>
    </w:p>
    <w:p w:rsidR="0075582F" w:rsidRPr="009C6450" w:rsidRDefault="0075582F" w:rsidP="0075582F">
      <w:pPr>
        <w:jc w:val="both"/>
        <w:outlineLvl w:val="0"/>
        <w:rPr>
          <w:b/>
          <w:bCs/>
        </w:rPr>
      </w:pPr>
    </w:p>
    <w:p w:rsidR="0075582F" w:rsidRPr="009C6450" w:rsidRDefault="0075582F" w:rsidP="0075582F">
      <w:pPr>
        <w:jc w:val="both"/>
        <w:outlineLvl w:val="0"/>
        <w:rPr>
          <w:b/>
          <w:bCs/>
          <w:i/>
        </w:rPr>
      </w:pPr>
      <w:r w:rsidRPr="009C6450">
        <w:rPr>
          <w:b/>
          <w:bCs/>
          <w:i/>
        </w:rPr>
        <w:t>Flujo de Efectivo de las Actividades de Operación</w:t>
      </w:r>
    </w:p>
    <w:p w:rsidR="0075582F" w:rsidRPr="009C6450" w:rsidRDefault="0075582F" w:rsidP="0075582F">
      <w:pPr>
        <w:jc w:val="both"/>
        <w:outlineLvl w:val="0"/>
        <w:rPr>
          <w:b/>
          <w:bCs/>
        </w:rPr>
      </w:pPr>
    </w:p>
    <w:p w:rsidR="0075582F" w:rsidRPr="009C6450" w:rsidRDefault="0075582F" w:rsidP="0075582F">
      <w:pPr>
        <w:jc w:val="both"/>
        <w:outlineLvl w:val="0"/>
        <w:rPr>
          <w:bCs/>
        </w:rPr>
      </w:pPr>
      <w:r w:rsidRPr="009C6450">
        <w:rPr>
          <w:bCs/>
        </w:rPr>
        <w:t xml:space="preserve">Durante el periodo que se informa, las Entidades Paraestatales Empresariales con Participación Estatal Mayoritaria recibieron ingresos de gestión por la cantidad de </w:t>
      </w:r>
      <w:r>
        <w:rPr>
          <w:bCs/>
        </w:rPr>
        <w:t>151.1</w:t>
      </w:r>
      <w:r w:rsidRPr="009C6450">
        <w:rPr>
          <w:bCs/>
        </w:rPr>
        <w:t xml:space="preserve"> millones de pesos. El gasto de funcionamiento devengado por el periodo comprendido del 1 de </w:t>
      </w:r>
      <w:r>
        <w:rPr>
          <w:bCs/>
        </w:rPr>
        <w:t>enero</w:t>
      </w:r>
      <w:r w:rsidRPr="009C6450">
        <w:rPr>
          <w:bCs/>
        </w:rPr>
        <w:t xml:space="preserve"> al 3</w:t>
      </w:r>
      <w:r>
        <w:rPr>
          <w:bCs/>
        </w:rPr>
        <w:t>0</w:t>
      </w:r>
      <w:r w:rsidRPr="009C6450">
        <w:rPr>
          <w:bCs/>
        </w:rPr>
        <w:t xml:space="preserve"> </w:t>
      </w:r>
      <w:r>
        <w:rPr>
          <w:bCs/>
        </w:rPr>
        <w:t>de junio</w:t>
      </w:r>
      <w:r w:rsidRPr="009C6450">
        <w:rPr>
          <w:bCs/>
        </w:rPr>
        <w:t xml:space="preserve"> de 202</w:t>
      </w:r>
      <w:r>
        <w:rPr>
          <w:bCs/>
        </w:rPr>
        <w:t>1</w:t>
      </w:r>
      <w:r w:rsidRPr="009C6450">
        <w:rPr>
          <w:bCs/>
        </w:rPr>
        <w:t xml:space="preserve"> asciende a </w:t>
      </w:r>
      <w:r>
        <w:rPr>
          <w:bCs/>
        </w:rPr>
        <w:t>181.3</w:t>
      </w:r>
      <w:r w:rsidRPr="009C6450">
        <w:rPr>
          <w:bCs/>
        </w:rPr>
        <w:t xml:space="preserve"> millones de pesos, el cual refleja un flujo neto negativo por actividades de operación por un importe de </w:t>
      </w:r>
      <w:r>
        <w:rPr>
          <w:bCs/>
        </w:rPr>
        <w:t>30.2</w:t>
      </w:r>
      <w:r w:rsidRPr="009C6450">
        <w:rPr>
          <w:bCs/>
        </w:rPr>
        <w:t xml:space="preserve"> millones de pesos.</w:t>
      </w:r>
    </w:p>
    <w:p w:rsidR="0075582F" w:rsidRPr="009C6450" w:rsidRDefault="0075582F" w:rsidP="0075582F">
      <w:pPr>
        <w:jc w:val="both"/>
        <w:outlineLvl w:val="0"/>
        <w:rPr>
          <w:bCs/>
        </w:rPr>
      </w:pPr>
    </w:p>
    <w:p w:rsidR="0075582F" w:rsidRPr="009C6450" w:rsidRDefault="0075582F" w:rsidP="0075582F">
      <w:pPr>
        <w:jc w:val="both"/>
        <w:outlineLvl w:val="0"/>
        <w:rPr>
          <w:b/>
          <w:bCs/>
          <w:i/>
        </w:rPr>
      </w:pPr>
      <w:r w:rsidRPr="009C6450">
        <w:rPr>
          <w:b/>
          <w:bCs/>
          <w:i/>
        </w:rPr>
        <w:t>Flujo de Efectivo de las Actividades de Inversión</w:t>
      </w:r>
    </w:p>
    <w:p w:rsidR="0075582F" w:rsidRPr="009C6450" w:rsidRDefault="0075582F" w:rsidP="0075582F">
      <w:pPr>
        <w:jc w:val="both"/>
        <w:outlineLvl w:val="0"/>
        <w:rPr>
          <w:b/>
          <w:bCs/>
        </w:rPr>
      </w:pPr>
    </w:p>
    <w:p w:rsidR="0075582F" w:rsidRPr="009C6450" w:rsidRDefault="0075582F" w:rsidP="0075582F">
      <w:pPr>
        <w:jc w:val="both"/>
        <w:outlineLvl w:val="0"/>
        <w:rPr>
          <w:bCs/>
        </w:rPr>
      </w:pPr>
      <w:r w:rsidRPr="009C6450">
        <w:rPr>
          <w:bCs/>
        </w:rPr>
        <w:t xml:space="preserve">Durante el periodo que se informa, las Entidades Paraestatales Empresariales con Participación Estatal Mayoritaria, recibieron ingresos de inversión por la cantidad de </w:t>
      </w:r>
      <w:r>
        <w:rPr>
          <w:bCs/>
        </w:rPr>
        <w:t>205.7</w:t>
      </w:r>
      <w:r w:rsidRPr="009C6450">
        <w:rPr>
          <w:bCs/>
        </w:rPr>
        <w:t xml:space="preserve"> millones de pesos. El gasto de funcionamiento devengado por el periodo comprendido del 1 de enero al 3</w:t>
      </w:r>
      <w:r>
        <w:rPr>
          <w:bCs/>
        </w:rPr>
        <w:t>0</w:t>
      </w:r>
      <w:r w:rsidRPr="009C6450">
        <w:rPr>
          <w:bCs/>
        </w:rPr>
        <w:t xml:space="preserve"> de </w:t>
      </w:r>
      <w:r>
        <w:rPr>
          <w:bCs/>
        </w:rPr>
        <w:t xml:space="preserve">junio </w:t>
      </w:r>
      <w:r w:rsidRPr="009C6450">
        <w:rPr>
          <w:bCs/>
        </w:rPr>
        <w:t>de 202</w:t>
      </w:r>
      <w:r>
        <w:rPr>
          <w:bCs/>
        </w:rPr>
        <w:t>1</w:t>
      </w:r>
      <w:r w:rsidRPr="009C6450">
        <w:rPr>
          <w:bCs/>
        </w:rPr>
        <w:t xml:space="preserve"> asciende a </w:t>
      </w:r>
      <w:r>
        <w:rPr>
          <w:bCs/>
        </w:rPr>
        <w:t>115.4</w:t>
      </w:r>
      <w:r w:rsidRPr="009C6450">
        <w:rPr>
          <w:bCs/>
        </w:rPr>
        <w:t xml:space="preserve"> millones de pesos, el cual refleja un flujo positivo neto por actividades de inversión por un importe de </w:t>
      </w:r>
      <w:r>
        <w:rPr>
          <w:bCs/>
        </w:rPr>
        <w:t>90.3</w:t>
      </w:r>
      <w:r w:rsidRPr="009C6450">
        <w:rPr>
          <w:bCs/>
        </w:rPr>
        <w:t xml:space="preserve"> millones de pesos.</w:t>
      </w:r>
    </w:p>
    <w:p w:rsidR="0075582F" w:rsidRPr="009C6450" w:rsidRDefault="0075582F" w:rsidP="0075582F">
      <w:pPr>
        <w:jc w:val="both"/>
        <w:outlineLvl w:val="0"/>
        <w:rPr>
          <w:bCs/>
        </w:rPr>
      </w:pPr>
    </w:p>
    <w:p w:rsidR="0075582F" w:rsidRPr="009C6450" w:rsidRDefault="0075582F" w:rsidP="0075582F">
      <w:pPr>
        <w:jc w:val="both"/>
        <w:outlineLvl w:val="0"/>
        <w:rPr>
          <w:b/>
          <w:bCs/>
          <w:i/>
        </w:rPr>
      </w:pPr>
      <w:r w:rsidRPr="009C6450">
        <w:rPr>
          <w:b/>
          <w:bCs/>
          <w:i/>
        </w:rPr>
        <w:t>Flujo de Efectivo de las Actividades de Financiamiento</w:t>
      </w:r>
    </w:p>
    <w:p w:rsidR="0075582F" w:rsidRPr="009C6450" w:rsidRDefault="0075582F" w:rsidP="0075582F">
      <w:pPr>
        <w:jc w:val="both"/>
        <w:outlineLvl w:val="0"/>
        <w:rPr>
          <w:b/>
          <w:bCs/>
        </w:rPr>
      </w:pPr>
    </w:p>
    <w:p w:rsidR="0075582F" w:rsidRPr="009C6450" w:rsidRDefault="0075582F" w:rsidP="0075582F">
      <w:pPr>
        <w:jc w:val="both"/>
        <w:outlineLvl w:val="0"/>
        <w:rPr>
          <w:bCs/>
        </w:rPr>
      </w:pPr>
      <w:r w:rsidRPr="009C6450">
        <w:rPr>
          <w:bCs/>
        </w:rPr>
        <w:t xml:space="preserve">Durante el periodo que se informa, las Entidades Empresariales no Financieras con Participación Estatal Mayoritaria, recibieron ingresos de financiamiento por la cantidad de </w:t>
      </w:r>
      <w:r>
        <w:rPr>
          <w:bCs/>
        </w:rPr>
        <w:t>7.2</w:t>
      </w:r>
      <w:r w:rsidRPr="009C6450">
        <w:rPr>
          <w:bCs/>
        </w:rPr>
        <w:t xml:space="preserve"> millones de pesos. El gasto de funcionamiento devengado por el periodo comprendido del 1 de enero al 3</w:t>
      </w:r>
      <w:r>
        <w:rPr>
          <w:bCs/>
        </w:rPr>
        <w:t>0</w:t>
      </w:r>
      <w:r w:rsidRPr="009C6450">
        <w:rPr>
          <w:bCs/>
        </w:rPr>
        <w:t xml:space="preserve"> de </w:t>
      </w:r>
      <w:r>
        <w:rPr>
          <w:bCs/>
        </w:rPr>
        <w:t xml:space="preserve">junio </w:t>
      </w:r>
      <w:r w:rsidRPr="009C6450">
        <w:rPr>
          <w:bCs/>
        </w:rPr>
        <w:t>de 202</w:t>
      </w:r>
      <w:r>
        <w:rPr>
          <w:bCs/>
        </w:rPr>
        <w:t>1</w:t>
      </w:r>
      <w:r w:rsidRPr="009C6450">
        <w:rPr>
          <w:bCs/>
        </w:rPr>
        <w:t xml:space="preserve"> asciende a </w:t>
      </w:r>
      <w:r>
        <w:rPr>
          <w:bCs/>
        </w:rPr>
        <w:t>47.4</w:t>
      </w:r>
      <w:r w:rsidRPr="009C6450">
        <w:rPr>
          <w:bCs/>
        </w:rPr>
        <w:t xml:space="preserve"> millones de pesos, el cual refleja un flujo neto a la baja por actividades de financiamiento por un importe de </w:t>
      </w:r>
      <w:r>
        <w:rPr>
          <w:bCs/>
        </w:rPr>
        <w:t>40.2</w:t>
      </w:r>
      <w:r w:rsidRPr="009C6450">
        <w:rPr>
          <w:bCs/>
        </w:rPr>
        <w:t xml:space="preserve"> millones de pesos.</w:t>
      </w:r>
    </w:p>
    <w:p w:rsidR="0075582F" w:rsidRPr="009C6450" w:rsidRDefault="0075582F" w:rsidP="0075582F">
      <w:pPr>
        <w:jc w:val="both"/>
        <w:outlineLvl w:val="0"/>
        <w:rPr>
          <w:b/>
          <w:bCs/>
        </w:rPr>
      </w:pPr>
    </w:p>
    <w:p w:rsidR="0075582F" w:rsidRPr="009C6450" w:rsidRDefault="0075582F" w:rsidP="0075582F">
      <w:pPr>
        <w:tabs>
          <w:tab w:val="left" w:pos="6840"/>
        </w:tabs>
        <w:jc w:val="center"/>
        <w:outlineLvl w:val="0"/>
      </w:pPr>
      <w:r w:rsidRPr="00F2512B">
        <w:rPr>
          <w:noProof/>
          <w:lang w:eastAsia="es-MX"/>
        </w:rPr>
        <w:drawing>
          <wp:inline distT="0" distB="0" distL="0" distR="0" wp14:anchorId="26464C7F" wp14:editId="71F1641F">
            <wp:extent cx="6692265" cy="1627848"/>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1627848"/>
                    </a:xfrm>
                    <a:prstGeom prst="rect">
                      <a:avLst/>
                    </a:prstGeom>
                    <a:noFill/>
                    <a:ln>
                      <a:noFill/>
                    </a:ln>
                  </pic:spPr>
                </pic:pic>
              </a:graphicData>
            </a:graphic>
          </wp:inline>
        </w:drawing>
      </w:r>
    </w:p>
    <w:p w:rsidR="0075582F" w:rsidRDefault="0075582F" w:rsidP="0075582F">
      <w:pPr>
        <w:tabs>
          <w:tab w:val="left" w:pos="6840"/>
        </w:tabs>
        <w:jc w:val="both"/>
        <w:outlineLvl w:val="0"/>
      </w:pPr>
    </w:p>
    <w:p w:rsidR="0075582F" w:rsidRDefault="0075582F" w:rsidP="0075582F">
      <w:pPr>
        <w:tabs>
          <w:tab w:val="left" w:pos="6840"/>
        </w:tabs>
        <w:jc w:val="both"/>
        <w:outlineLvl w:val="0"/>
      </w:pPr>
    </w:p>
    <w:p w:rsidR="0075582F" w:rsidRPr="009C6450" w:rsidRDefault="0075582F" w:rsidP="0075582F">
      <w:pPr>
        <w:tabs>
          <w:tab w:val="left" w:pos="6840"/>
        </w:tabs>
        <w:jc w:val="both"/>
        <w:outlineLvl w:val="0"/>
      </w:pPr>
    </w:p>
    <w:p w:rsidR="0075582F" w:rsidRPr="009C6450" w:rsidRDefault="0075582F" w:rsidP="0075582F">
      <w:pPr>
        <w:tabs>
          <w:tab w:val="left" w:pos="6840"/>
        </w:tabs>
        <w:jc w:val="both"/>
        <w:outlineLvl w:val="0"/>
        <w:rPr>
          <w:i/>
        </w:rPr>
      </w:pPr>
      <w:r w:rsidRPr="009C6450">
        <w:rPr>
          <w:i/>
        </w:rPr>
        <w:lastRenderedPageBreak/>
        <w:t xml:space="preserve">Conciliación de </w:t>
      </w:r>
      <w:r>
        <w:rPr>
          <w:i/>
        </w:rPr>
        <w:t xml:space="preserve">los </w:t>
      </w:r>
      <w:r w:rsidRPr="009C6450">
        <w:rPr>
          <w:i/>
        </w:rPr>
        <w:t>Flujos de Efectivo Netos de las Actividades de Operación y</w:t>
      </w:r>
      <w:r>
        <w:rPr>
          <w:i/>
        </w:rPr>
        <w:t xml:space="preserve"> los Saldos de Resultados del Ejercicio (Ahorro/Desahorro)</w:t>
      </w:r>
      <w:r w:rsidRPr="009C6450">
        <w:rPr>
          <w:i/>
        </w:rPr>
        <w:t>:</w:t>
      </w:r>
    </w:p>
    <w:p w:rsidR="0075582F" w:rsidRPr="009C6450" w:rsidRDefault="0075582F" w:rsidP="0075582F">
      <w:pPr>
        <w:tabs>
          <w:tab w:val="left" w:pos="6840"/>
        </w:tabs>
        <w:jc w:val="both"/>
        <w:outlineLvl w:val="0"/>
      </w:pPr>
    </w:p>
    <w:p w:rsidR="0075582F" w:rsidRPr="009C6450" w:rsidRDefault="0075582F" w:rsidP="0075582F">
      <w:pPr>
        <w:tabs>
          <w:tab w:val="left" w:pos="6840"/>
        </w:tabs>
        <w:jc w:val="center"/>
        <w:outlineLvl w:val="0"/>
      </w:pPr>
      <w:r w:rsidRPr="00F2512B">
        <w:rPr>
          <w:noProof/>
          <w:lang w:eastAsia="es-MX"/>
        </w:rPr>
        <w:drawing>
          <wp:inline distT="0" distB="0" distL="0" distR="0" wp14:anchorId="549AFE1C" wp14:editId="591353F5">
            <wp:extent cx="6692265" cy="1319721"/>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319721"/>
                    </a:xfrm>
                    <a:prstGeom prst="rect">
                      <a:avLst/>
                    </a:prstGeom>
                    <a:noFill/>
                    <a:ln>
                      <a:noFill/>
                    </a:ln>
                  </pic:spPr>
                </pic:pic>
              </a:graphicData>
            </a:graphic>
          </wp:inline>
        </w:drawing>
      </w:r>
    </w:p>
    <w:p w:rsidR="0075582F" w:rsidRPr="009C6450" w:rsidRDefault="0075582F" w:rsidP="0075582F">
      <w:pPr>
        <w:tabs>
          <w:tab w:val="left" w:pos="6840"/>
        </w:tabs>
        <w:jc w:val="center"/>
        <w:outlineLvl w:val="0"/>
      </w:pPr>
    </w:p>
    <w:p w:rsidR="0075582F" w:rsidRPr="009C6450" w:rsidRDefault="0075582F" w:rsidP="0075582F">
      <w:pPr>
        <w:tabs>
          <w:tab w:val="left" w:pos="6840"/>
        </w:tabs>
        <w:jc w:val="center"/>
        <w:outlineLvl w:val="0"/>
      </w:pPr>
    </w:p>
    <w:p w:rsidR="0075582F" w:rsidRPr="009C6450" w:rsidRDefault="0075582F" w:rsidP="0075582F">
      <w:pPr>
        <w:tabs>
          <w:tab w:val="left" w:pos="6840"/>
        </w:tabs>
        <w:jc w:val="center"/>
        <w:outlineLvl w:val="0"/>
      </w:pPr>
    </w:p>
    <w:p w:rsidR="0075582F" w:rsidRPr="009C6450" w:rsidRDefault="0075582F" w:rsidP="0075582F">
      <w:pPr>
        <w:pBdr>
          <w:bottom w:val="single" w:sz="2" w:space="1" w:color="auto"/>
        </w:pBdr>
        <w:ind w:left="2835" w:right="2835"/>
        <w:jc w:val="center"/>
        <w:rPr>
          <w:b/>
          <w:bCs/>
          <w:caps/>
        </w:rPr>
      </w:pPr>
      <w:r w:rsidRPr="009C6450">
        <w:rPr>
          <w:b/>
          <w:bCs/>
          <w:caps/>
        </w:rPr>
        <w:t>NOTAS de memoria</w:t>
      </w:r>
    </w:p>
    <w:p w:rsidR="0075582F" w:rsidRPr="009C6450" w:rsidRDefault="0075582F" w:rsidP="0075582F">
      <w:pPr>
        <w:jc w:val="both"/>
        <w:outlineLvl w:val="0"/>
        <w:rPr>
          <w:b/>
          <w:bCs/>
        </w:rPr>
      </w:pPr>
    </w:p>
    <w:p w:rsidR="0075582F" w:rsidRPr="009C6450" w:rsidRDefault="0075582F" w:rsidP="0075582F">
      <w:pPr>
        <w:jc w:val="both"/>
        <w:outlineLvl w:val="0"/>
        <w:rPr>
          <w:bCs/>
        </w:rPr>
      </w:pPr>
      <w:r w:rsidRPr="009C6450">
        <w:rPr>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75582F" w:rsidRPr="009C6450" w:rsidRDefault="0075582F" w:rsidP="0075582F">
      <w:pPr>
        <w:jc w:val="both"/>
        <w:outlineLvl w:val="0"/>
        <w:rPr>
          <w:bCs/>
        </w:rPr>
      </w:pPr>
    </w:p>
    <w:p w:rsidR="0075582F" w:rsidRPr="009C6450" w:rsidRDefault="0075582F" w:rsidP="0075582F">
      <w:pPr>
        <w:jc w:val="both"/>
        <w:outlineLvl w:val="0"/>
        <w:rPr>
          <w:bCs/>
        </w:rPr>
      </w:pPr>
      <w:r w:rsidRPr="009C6450">
        <w:rPr>
          <w:bC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rsidR="0075582F" w:rsidRPr="009C6450" w:rsidRDefault="0075582F" w:rsidP="0075582F">
      <w:pPr>
        <w:jc w:val="both"/>
        <w:outlineLvl w:val="0"/>
        <w:rPr>
          <w:bCs/>
        </w:rPr>
      </w:pPr>
    </w:p>
    <w:p w:rsidR="0075582F" w:rsidRPr="009C6450" w:rsidRDefault="0075582F" w:rsidP="0075582F">
      <w:pPr>
        <w:jc w:val="both"/>
        <w:outlineLvl w:val="0"/>
        <w:rPr>
          <w:b/>
          <w:bCs/>
        </w:rPr>
      </w:pPr>
    </w:p>
    <w:p w:rsidR="0075582F" w:rsidRPr="009C6450" w:rsidRDefault="0075582F" w:rsidP="0075582F">
      <w:pPr>
        <w:jc w:val="both"/>
        <w:outlineLvl w:val="0"/>
        <w:rPr>
          <w:b/>
          <w:bCs/>
        </w:rPr>
      </w:pPr>
      <w:r w:rsidRPr="009C6450">
        <w:rPr>
          <w:b/>
          <w:bCs/>
        </w:rPr>
        <w:t>CONTABLES:</w:t>
      </w:r>
    </w:p>
    <w:p w:rsidR="0075582F" w:rsidRPr="009C6450" w:rsidRDefault="0075582F" w:rsidP="0075582F">
      <w:pPr>
        <w:jc w:val="both"/>
        <w:outlineLvl w:val="0"/>
        <w:rPr>
          <w:b/>
          <w:bCs/>
        </w:rPr>
      </w:pPr>
    </w:p>
    <w:p w:rsidR="0075582F" w:rsidRPr="009C6450" w:rsidRDefault="0075582F" w:rsidP="0075582F">
      <w:pPr>
        <w:autoSpaceDE w:val="0"/>
        <w:autoSpaceDN w:val="0"/>
        <w:adjustRightInd w:val="0"/>
        <w:jc w:val="both"/>
        <w:rPr>
          <w:b/>
          <w:i/>
        </w:rPr>
      </w:pPr>
      <w:r w:rsidRPr="009C6450">
        <w:rPr>
          <w:b/>
          <w:i/>
        </w:rPr>
        <w:t>Bienes en Concesionados o en Comodato</w:t>
      </w:r>
    </w:p>
    <w:p w:rsidR="0075582F" w:rsidRPr="009C6450" w:rsidRDefault="0075582F" w:rsidP="0075582F">
      <w:pPr>
        <w:autoSpaceDE w:val="0"/>
        <w:autoSpaceDN w:val="0"/>
        <w:adjustRightInd w:val="0"/>
        <w:jc w:val="both"/>
        <w:rPr>
          <w:b/>
          <w:i/>
        </w:rPr>
      </w:pPr>
    </w:p>
    <w:p w:rsidR="0075582F" w:rsidRPr="009C6450" w:rsidRDefault="0075582F" w:rsidP="0075582F">
      <w:pPr>
        <w:autoSpaceDE w:val="0"/>
        <w:autoSpaceDN w:val="0"/>
        <w:adjustRightInd w:val="0"/>
        <w:jc w:val="both"/>
      </w:pPr>
      <w:r w:rsidRPr="009C6450">
        <w:t>Los Bienes en Concesionados o en Comodato, representan los bienes muebles que se otorgan entre organismos públicos.</w:t>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center"/>
      </w:pPr>
      <w:r w:rsidRPr="00F2512B">
        <w:rPr>
          <w:noProof/>
          <w:lang w:eastAsia="es-MX"/>
        </w:rPr>
        <w:drawing>
          <wp:inline distT="0" distB="0" distL="0" distR="0" wp14:anchorId="5588CB66" wp14:editId="7BEFE962">
            <wp:extent cx="5191125" cy="647700"/>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91125" cy="647700"/>
                    </a:xfrm>
                    <a:prstGeom prst="rect">
                      <a:avLst/>
                    </a:prstGeom>
                    <a:noFill/>
                    <a:ln>
                      <a:noFill/>
                    </a:ln>
                  </pic:spPr>
                </pic:pic>
              </a:graphicData>
            </a:graphic>
          </wp:inline>
        </w:drawing>
      </w:r>
    </w:p>
    <w:p w:rsidR="0075582F" w:rsidRPr="009C6450" w:rsidRDefault="0075582F" w:rsidP="0075582F">
      <w:pPr>
        <w:autoSpaceDE w:val="0"/>
        <w:autoSpaceDN w:val="0"/>
        <w:adjustRightInd w:val="0"/>
        <w:jc w:val="both"/>
      </w:pPr>
    </w:p>
    <w:p w:rsidR="0075582F" w:rsidRPr="009C6450" w:rsidRDefault="0075582F" w:rsidP="0075582F">
      <w:pPr>
        <w:autoSpaceDE w:val="0"/>
        <w:autoSpaceDN w:val="0"/>
        <w:adjustRightInd w:val="0"/>
        <w:jc w:val="both"/>
      </w:pPr>
    </w:p>
    <w:p w:rsidR="0075582F" w:rsidRPr="009C6450" w:rsidRDefault="0075582F" w:rsidP="0075582F">
      <w:pPr>
        <w:jc w:val="both"/>
        <w:outlineLvl w:val="0"/>
        <w:rPr>
          <w:b/>
          <w:bCs/>
        </w:rPr>
      </w:pPr>
      <w:r w:rsidRPr="009C6450">
        <w:rPr>
          <w:b/>
          <w:bCs/>
        </w:rPr>
        <w:t>PRESUPUESTARIAS:</w:t>
      </w:r>
    </w:p>
    <w:p w:rsidR="0075582F" w:rsidRPr="009C6450" w:rsidRDefault="0075582F" w:rsidP="0075582F">
      <w:pPr>
        <w:rPr>
          <w:b/>
          <w:bCs/>
          <w:highlight w:val="cyan"/>
        </w:rPr>
      </w:pPr>
    </w:p>
    <w:p w:rsidR="0075582F" w:rsidRPr="009C6450" w:rsidRDefault="0075582F" w:rsidP="0075582F">
      <w:pPr>
        <w:rPr>
          <w:b/>
          <w:bCs/>
        </w:rPr>
      </w:pPr>
      <w:r w:rsidRPr="009C6450">
        <w:rPr>
          <w:b/>
          <w:bCs/>
        </w:rPr>
        <w:t>Estado Analítico de Ingresos Presupuestales</w:t>
      </w:r>
    </w:p>
    <w:p w:rsidR="0075582F" w:rsidRPr="009C6450" w:rsidRDefault="0075582F" w:rsidP="0075582F">
      <w:pPr>
        <w:rPr>
          <w:bCs/>
        </w:rPr>
      </w:pPr>
    </w:p>
    <w:p w:rsidR="0075582F" w:rsidRPr="009C6450" w:rsidRDefault="0075582F" w:rsidP="0075582F">
      <w:pPr>
        <w:jc w:val="both"/>
        <w:outlineLvl w:val="0"/>
      </w:pPr>
      <w:r w:rsidRPr="009C6450">
        <w:t>Al inicio del ejercicio 202</w:t>
      </w:r>
      <w:r>
        <w:t>1</w:t>
      </w:r>
      <w:r w:rsidRPr="009C6450">
        <w:t xml:space="preserve">, se aprobó un presupuesto de ingresos de </w:t>
      </w:r>
      <w:r>
        <w:t>345.2</w:t>
      </w:r>
      <w:r w:rsidRPr="009C6450">
        <w:t xml:space="preserve"> millones de pesos, para las Entidades Paraestatales Empresariales no Financieras con Participación Estatal Mayoritaria, sin embargo, las estrategias implementadas para obtener mayores recursos, lograron un incremento de </w:t>
      </w:r>
      <w:r>
        <w:t xml:space="preserve">6,045 </w:t>
      </w:r>
      <w:r w:rsidRPr="009C6450">
        <w:t>pesos, al presupuesto estimado para el periodo que se informa.</w:t>
      </w:r>
    </w:p>
    <w:p w:rsidR="0075582F" w:rsidRPr="009C6450" w:rsidRDefault="0075582F" w:rsidP="0075582F">
      <w:pPr>
        <w:jc w:val="both"/>
        <w:outlineLvl w:val="0"/>
      </w:pPr>
    </w:p>
    <w:p w:rsidR="0075582F" w:rsidRPr="009C6450" w:rsidRDefault="0075582F" w:rsidP="0075582F">
      <w:pPr>
        <w:jc w:val="both"/>
        <w:outlineLvl w:val="0"/>
      </w:pPr>
      <w:r w:rsidRPr="009C6450">
        <w:t>Los ingresos recaudados durante el periodo del 1 de enero al 3</w:t>
      </w:r>
      <w:r>
        <w:t>0</w:t>
      </w:r>
      <w:r w:rsidRPr="009C6450">
        <w:t xml:space="preserve"> de </w:t>
      </w:r>
      <w:r>
        <w:t xml:space="preserve">junio </w:t>
      </w:r>
      <w:r w:rsidRPr="009C6450">
        <w:t>de 202</w:t>
      </w:r>
      <w:r>
        <w:t>1</w:t>
      </w:r>
      <w:r w:rsidRPr="009C6450">
        <w:t xml:space="preserve">, ascendieron a la cantidad de </w:t>
      </w:r>
      <w:r>
        <w:t>148.7</w:t>
      </w:r>
      <w:r w:rsidRPr="009C6450">
        <w:t xml:space="preserve"> millones de pesos, con una variación m</w:t>
      </w:r>
      <w:r>
        <w:t>enor</w:t>
      </w:r>
      <w:r w:rsidRPr="009C6450">
        <w:t xml:space="preserve"> al estimado al inicio del ejercicio.</w:t>
      </w:r>
    </w:p>
    <w:p w:rsidR="0075582F" w:rsidRPr="009C6450" w:rsidRDefault="0075582F" w:rsidP="0075582F">
      <w:pPr>
        <w:jc w:val="both"/>
        <w:outlineLvl w:val="0"/>
      </w:pPr>
    </w:p>
    <w:p w:rsidR="0075582F" w:rsidRPr="009C6450" w:rsidRDefault="0075582F" w:rsidP="0075582F">
      <w:pPr>
        <w:jc w:val="both"/>
        <w:outlineLvl w:val="0"/>
      </w:pPr>
      <w:r w:rsidRPr="009C6450">
        <w:t xml:space="preserve">Los ingresos principales fueron derivados de la Venta de Bienes y Prestación de Servicios y Otros Ingresos de las Entidades Paraestatales Empresariales no Financieras con Participación Estatal Mayoritaria por las actividades propias con </w:t>
      </w:r>
      <w:r>
        <w:t>148.7</w:t>
      </w:r>
      <w:r w:rsidRPr="009C6450">
        <w:t xml:space="preserve"> millones de pesos.</w:t>
      </w:r>
    </w:p>
    <w:p w:rsidR="0075582F" w:rsidRPr="009C6450" w:rsidRDefault="0075582F" w:rsidP="0075582F">
      <w:pPr>
        <w:jc w:val="both"/>
        <w:outlineLvl w:val="0"/>
      </w:pPr>
    </w:p>
    <w:p w:rsidR="0075582F" w:rsidRPr="009C6450" w:rsidRDefault="0075582F" w:rsidP="0075582F">
      <w:pPr>
        <w:jc w:val="center"/>
        <w:rPr>
          <w:bCs/>
        </w:rPr>
      </w:pPr>
      <w:r w:rsidRPr="00F2512B">
        <w:rPr>
          <w:noProof/>
          <w:lang w:eastAsia="es-MX"/>
        </w:rPr>
        <w:lastRenderedPageBreak/>
        <w:drawing>
          <wp:inline distT="0" distB="0" distL="0" distR="0" wp14:anchorId="3DD952EE" wp14:editId="554F57E4">
            <wp:extent cx="6692265" cy="328156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3281565"/>
                    </a:xfrm>
                    <a:prstGeom prst="rect">
                      <a:avLst/>
                    </a:prstGeom>
                    <a:noFill/>
                    <a:ln>
                      <a:noFill/>
                    </a:ln>
                  </pic:spPr>
                </pic:pic>
              </a:graphicData>
            </a:graphic>
          </wp:inline>
        </w:drawing>
      </w:r>
    </w:p>
    <w:p w:rsidR="0075582F" w:rsidRDefault="0075582F" w:rsidP="0075582F">
      <w:pPr>
        <w:jc w:val="both"/>
        <w:rPr>
          <w:bCs/>
        </w:rPr>
      </w:pPr>
    </w:p>
    <w:p w:rsidR="0075582F" w:rsidRPr="009C6450" w:rsidRDefault="0075582F" w:rsidP="0075582F">
      <w:pPr>
        <w:jc w:val="both"/>
        <w:rPr>
          <w:bCs/>
        </w:rPr>
      </w:pPr>
    </w:p>
    <w:p w:rsidR="0075582F" w:rsidRPr="009C6450" w:rsidRDefault="0075582F" w:rsidP="0075582F">
      <w:pPr>
        <w:jc w:val="both"/>
        <w:outlineLvl w:val="0"/>
        <w:rPr>
          <w:b/>
          <w:i/>
        </w:rPr>
      </w:pPr>
      <w:r w:rsidRPr="009C6450">
        <w:rPr>
          <w:b/>
          <w:i/>
        </w:rPr>
        <w:t>Estado del Ejercicio del Presupuesto</w:t>
      </w:r>
    </w:p>
    <w:p w:rsidR="0075582F" w:rsidRPr="009C6450" w:rsidRDefault="0075582F" w:rsidP="0075582F">
      <w:pPr>
        <w:jc w:val="both"/>
        <w:outlineLvl w:val="0"/>
      </w:pPr>
    </w:p>
    <w:p w:rsidR="0075582F" w:rsidRPr="009C6450" w:rsidRDefault="0075582F" w:rsidP="0075582F">
      <w:pPr>
        <w:jc w:val="both"/>
        <w:outlineLvl w:val="0"/>
      </w:pPr>
      <w:r w:rsidRPr="009C6450">
        <w:t>El Estado del Ejercicio del Presupuesto, al 3</w:t>
      </w:r>
      <w:r>
        <w:t>0</w:t>
      </w:r>
      <w:r w:rsidRPr="009C6450">
        <w:t xml:space="preserve"> de </w:t>
      </w:r>
      <w:r>
        <w:t xml:space="preserve">junio </w:t>
      </w:r>
      <w:r w:rsidRPr="009C6450">
        <w:t>del ejercicio 202</w:t>
      </w:r>
      <w:r>
        <w:t>1</w:t>
      </w:r>
      <w:r w:rsidRPr="009C6450">
        <w:t xml:space="preserve">, refleja el Presupuesto Aprobado Anual por un importe de </w:t>
      </w:r>
      <w:r>
        <w:t>370.2</w:t>
      </w:r>
      <w:r w:rsidRPr="009C6450">
        <w:t xml:space="preserve"> millones de pesos, al cierre del periodo que se informa.</w:t>
      </w:r>
    </w:p>
    <w:p w:rsidR="0075582F" w:rsidRPr="009C6450" w:rsidRDefault="0075582F" w:rsidP="0075582F">
      <w:pPr>
        <w:outlineLvl w:val="0"/>
      </w:pPr>
    </w:p>
    <w:p w:rsidR="0075582F" w:rsidRPr="009C6450" w:rsidRDefault="0075582F" w:rsidP="0075582F">
      <w:pPr>
        <w:jc w:val="both"/>
        <w:outlineLvl w:val="0"/>
      </w:pPr>
      <w:r w:rsidRPr="009C6450">
        <w:t xml:space="preserve">El Presupuesto Devengado a la fecha que se informa fue de </w:t>
      </w:r>
      <w:r>
        <w:t>126.5</w:t>
      </w:r>
      <w:r w:rsidRPr="009C6450">
        <w:t xml:space="preserve"> millones de pes</w:t>
      </w:r>
      <w:r>
        <w:t>os; de los cuales se aplicaron 83.4</w:t>
      </w:r>
      <w:r w:rsidRPr="009C6450">
        <w:t xml:space="preserve"> millones de pesos a Servicios Generales equivalente al </w:t>
      </w:r>
      <w:r>
        <w:t>65.9</w:t>
      </w:r>
      <w:r w:rsidRPr="009C6450">
        <w:t xml:space="preserve"> por ciento del devengo total</w:t>
      </w:r>
      <w:r>
        <w:t>, 26.2</w:t>
      </w:r>
      <w:r w:rsidRPr="009C6450">
        <w:t xml:space="preserve"> millones de pesos a Servicios Personales que equivale al </w:t>
      </w:r>
      <w:r>
        <w:t xml:space="preserve">20.7 </w:t>
      </w:r>
      <w:r w:rsidRPr="009C6450">
        <w:t>por ciento</w:t>
      </w:r>
      <w:r>
        <w:t xml:space="preserve"> y 12.6 millones de pesos en Materiales y Suministros equivalente al 9.9 por ciento,</w:t>
      </w:r>
      <w:r w:rsidRPr="009C6450">
        <w:t xml:space="preserve"> entre los rubros más sobresalientes.</w:t>
      </w:r>
    </w:p>
    <w:p w:rsidR="0075582F" w:rsidRDefault="0075582F" w:rsidP="0075582F">
      <w:pPr>
        <w:outlineLvl w:val="0"/>
      </w:pPr>
    </w:p>
    <w:p w:rsidR="0075582F" w:rsidRDefault="0075582F" w:rsidP="0075582F">
      <w:pPr>
        <w:jc w:val="center"/>
        <w:outlineLvl w:val="0"/>
        <w:rPr>
          <w:b/>
          <w:bCs/>
          <w:highlight w:val="yellow"/>
        </w:rPr>
      </w:pPr>
      <w:r w:rsidRPr="00F2512B">
        <w:rPr>
          <w:noProof/>
          <w:lang w:eastAsia="es-MX"/>
        </w:rPr>
        <w:drawing>
          <wp:inline distT="0" distB="0" distL="0" distR="0" wp14:anchorId="5FEBA117" wp14:editId="6D8FD255">
            <wp:extent cx="6692265" cy="2957218"/>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2957218"/>
                    </a:xfrm>
                    <a:prstGeom prst="rect">
                      <a:avLst/>
                    </a:prstGeom>
                    <a:noFill/>
                    <a:ln>
                      <a:noFill/>
                    </a:ln>
                  </pic:spPr>
                </pic:pic>
              </a:graphicData>
            </a:graphic>
          </wp:inline>
        </w:drawing>
      </w:r>
    </w:p>
    <w:p w:rsidR="0075582F" w:rsidRDefault="0075582F" w:rsidP="0075582F">
      <w:pPr>
        <w:jc w:val="center"/>
        <w:outlineLvl w:val="0"/>
        <w:rPr>
          <w:b/>
          <w:bCs/>
          <w:highlight w:val="yellow"/>
        </w:rPr>
      </w:pPr>
    </w:p>
    <w:p w:rsidR="0075582F" w:rsidRDefault="0075582F" w:rsidP="0075582F">
      <w:pPr>
        <w:ind w:left="2835" w:right="2835"/>
        <w:jc w:val="center"/>
        <w:rPr>
          <w:b/>
          <w:bCs/>
          <w:caps/>
        </w:rPr>
      </w:pPr>
    </w:p>
    <w:p w:rsidR="0075582F" w:rsidRDefault="0075582F" w:rsidP="0075582F">
      <w:pPr>
        <w:ind w:left="2835" w:right="2835"/>
        <w:jc w:val="center"/>
        <w:rPr>
          <w:b/>
          <w:bCs/>
          <w:caps/>
        </w:rPr>
      </w:pPr>
    </w:p>
    <w:p w:rsidR="0075582F" w:rsidRDefault="0075582F" w:rsidP="0075582F">
      <w:pPr>
        <w:ind w:left="2835" w:right="2835"/>
        <w:jc w:val="center"/>
        <w:rPr>
          <w:b/>
          <w:bCs/>
          <w:caps/>
        </w:rPr>
      </w:pPr>
    </w:p>
    <w:p w:rsidR="0075582F" w:rsidRPr="009C6450" w:rsidRDefault="0075582F" w:rsidP="0075582F">
      <w:pPr>
        <w:pBdr>
          <w:bottom w:val="single" w:sz="2" w:space="1" w:color="auto"/>
        </w:pBdr>
        <w:ind w:left="2835" w:right="2835"/>
        <w:jc w:val="center"/>
        <w:rPr>
          <w:b/>
          <w:bCs/>
          <w:caps/>
        </w:rPr>
      </w:pPr>
      <w:r w:rsidRPr="009C6450">
        <w:rPr>
          <w:b/>
          <w:bCs/>
          <w:caps/>
        </w:rPr>
        <w:lastRenderedPageBreak/>
        <w:t xml:space="preserve">NOTAS de gestión administrativa </w:t>
      </w:r>
    </w:p>
    <w:p w:rsidR="0075582F" w:rsidRPr="009C6450" w:rsidRDefault="0075582F" w:rsidP="0075582F">
      <w:pPr>
        <w:autoSpaceDE w:val="0"/>
        <w:autoSpaceDN w:val="0"/>
        <w:adjustRightInd w:val="0"/>
        <w:outlineLvl w:val="0"/>
        <w:rPr>
          <w:b/>
          <w:bCs/>
        </w:rPr>
      </w:pPr>
    </w:p>
    <w:p w:rsidR="0075582F" w:rsidRPr="009C6450" w:rsidRDefault="0075582F" w:rsidP="0075582F">
      <w:pPr>
        <w:autoSpaceDE w:val="0"/>
        <w:autoSpaceDN w:val="0"/>
        <w:adjustRightInd w:val="0"/>
        <w:jc w:val="both"/>
        <w:outlineLvl w:val="0"/>
      </w:pPr>
      <w:r w:rsidRPr="009C6450">
        <w:t>Las notas de gestión administrativa de las Entidades de las Entidades Paraestatales Empresariales no Financieras con Participación Estatal Mayoritaria, son producto de las notas de cada ente público que lo conforman, mismas que pueden ser consultadas en cada ente público.</w:t>
      </w:r>
    </w:p>
    <w:p w:rsidR="0075582F" w:rsidRPr="009C6450" w:rsidRDefault="0075582F" w:rsidP="0075582F">
      <w:pPr>
        <w:autoSpaceDE w:val="0"/>
        <w:autoSpaceDN w:val="0"/>
        <w:adjustRightInd w:val="0"/>
        <w:jc w:val="both"/>
        <w:outlineLvl w:val="0"/>
      </w:pPr>
    </w:p>
    <w:p w:rsidR="0075582F" w:rsidRPr="009C6450" w:rsidRDefault="0075582F" w:rsidP="0075582F">
      <w:pPr>
        <w:autoSpaceDE w:val="0"/>
        <w:autoSpaceDN w:val="0"/>
        <w:adjustRightInd w:val="0"/>
        <w:jc w:val="both"/>
        <w:outlineLvl w:val="0"/>
        <w:rPr>
          <w:b/>
          <w:bCs/>
        </w:rPr>
      </w:pPr>
    </w:p>
    <w:p w:rsidR="0075582F" w:rsidRPr="009C6450" w:rsidRDefault="0075582F" w:rsidP="0075582F">
      <w:pPr>
        <w:autoSpaceDE w:val="0"/>
        <w:autoSpaceDN w:val="0"/>
        <w:adjustRightInd w:val="0"/>
        <w:jc w:val="both"/>
        <w:outlineLvl w:val="0"/>
        <w:rPr>
          <w:b/>
          <w:bCs/>
        </w:rPr>
      </w:pPr>
    </w:p>
    <w:p w:rsidR="0075582F" w:rsidRPr="009C6450" w:rsidRDefault="0075582F" w:rsidP="0075582F">
      <w:pPr>
        <w:pBdr>
          <w:bottom w:val="single" w:sz="12" w:space="1" w:color="808080" w:themeColor="background1" w:themeShade="80"/>
        </w:pBdr>
        <w:jc w:val="center"/>
        <w:rPr>
          <w:b/>
          <w:caps/>
        </w:rPr>
      </w:pPr>
      <w:r w:rsidRPr="009C6450">
        <w:rPr>
          <w:b/>
          <w:caps/>
        </w:rPr>
        <w:t>RAZONES FINANCIERAS</w:t>
      </w:r>
    </w:p>
    <w:p w:rsidR="0075582F" w:rsidRPr="009C6450" w:rsidRDefault="0075582F" w:rsidP="0075582F">
      <w:pPr>
        <w:tabs>
          <w:tab w:val="left" w:pos="6840"/>
        </w:tabs>
        <w:jc w:val="both"/>
        <w:outlineLvl w:val="0"/>
      </w:pPr>
    </w:p>
    <w:p w:rsidR="0075582F" w:rsidRPr="009C6450" w:rsidRDefault="0075582F" w:rsidP="0075582F">
      <w:pPr>
        <w:autoSpaceDE w:val="0"/>
        <w:autoSpaceDN w:val="0"/>
        <w:adjustRightInd w:val="0"/>
        <w:jc w:val="both"/>
        <w:outlineLvl w:val="0"/>
      </w:pPr>
      <w:r w:rsidRPr="009C6450">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w:t>
      </w:r>
      <w:r>
        <w:t>0</w:t>
      </w:r>
      <w:r w:rsidRPr="009C6450">
        <w:t xml:space="preserve"> de </w:t>
      </w:r>
      <w:r>
        <w:t>junio</w:t>
      </w:r>
      <w:r w:rsidRPr="009C6450">
        <w:t xml:space="preserve"> del ejercicio fiscal 202</w:t>
      </w:r>
      <w:r>
        <w:t>1</w:t>
      </w:r>
      <w:r w:rsidRPr="009C6450">
        <w:t>, se aplicaron las siguientes razones financieras:</w:t>
      </w:r>
    </w:p>
    <w:p w:rsidR="0075582F" w:rsidRPr="009C6450" w:rsidRDefault="0075582F" w:rsidP="0075582F">
      <w:pPr>
        <w:autoSpaceDE w:val="0"/>
        <w:autoSpaceDN w:val="0"/>
        <w:adjustRightInd w:val="0"/>
        <w:jc w:val="both"/>
        <w:outlineLvl w:val="0"/>
        <w:rPr>
          <w:bCs/>
        </w:rPr>
      </w:pPr>
    </w:p>
    <w:p w:rsidR="0075582F" w:rsidRPr="009C6450" w:rsidRDefault="0075582F" w:rsidP="0075582F">
      <w:pPr>
        <w:autoSpaceDE w:val="0"/>
        <w:autoSpaceDN w:val="0"/>
        <w:adjustRightInd w:val="0"/>
        <w:jc w:val="center"/>
        <w:outlineLvl w:val="0"/>
        <w:rPr>
          <w:b/>
          <w:bCs/>
        </w:rPr>
      </w:pPr>
      <w:r w:rsidRPr="00F2512B">
        <w:rPr>
          <w:noProof/>
          <w:lang w:eastAsia="es-MX"/>
        </w:rPr>
        <w:drawing>
          <wp:inline distT="0" distB="0" distL="0" distR="0" wp14:anchorId="4185050F" wp14:editId="271FE5CB">
            <wp:extent cx="6692265" cy="2648682"/>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648682"/>
                    </a:xfrm>
                    <a:prstGeom prst="rect">
                      <a:avLst/>
                    </a:prstGeom>
                    <a:noFill/>
                    <a:ln>
                      <a:noFill/>
                    </a:ln>
                  </pic:spPr>
                </pic:pic>
              </a:graphicData>
            </a:graphic>
          </wp:inline>
        </w:drawing>
      </w:r>
    </w:p>
    <w:p w:rsidR="0075582F" w:rsidRPr="009C6450" w:rsidRDefault="0075582F" w:rsidP="0075582F">
      <w:pPr>
        <w:autoSpaceDE w:val="0"/>
        <w:autoSpaceDN w:val="0"/>
        <w:adjustRightInd w:val="0"/>
        <w:outlineLvl w:val="0"/>
        <w:rPr>
          <w:bCs/>
        </w:rPr>
      </w:pPr>
    </w:p>
    <w:p w:rsidR="0075582F" w:rsidRPr="009C6450" w:rsidRDefault="0075582F" w:rsidP="0075582F">
      <w:pPr>
        <w:autoSpaceDE w:val="0"/>
        <w:autoSpaceDN w:val="0"/>
        <w:adjustRightInd w:val="0"/>
        <w:jc w:val="both"/>
        <w:outlineLvl w:val="0"/>
      </w:pPr>
      <w:r w:rsidRPr="009C6450">
        <w:t xml:space="preserve">Los Estados Financieros muestran un resultado de </w:t>
      </w:r>
      <w:r>
        <w:t>2.2</w:t>
      </w:r>
      <w:r w:rsidRPr="009C6450">
        <w:t xml:space="preserve"> pesos de </w:t>
      </w:r>
      <w:r w:rsidRPr="009C6450">
        <w:rPr>
          <w:b/>
        </w:rPr>
        <w:t>liquidez y disponibilidad inmediata</w:t>
      </w:r>
      <w:r w:rsidRPr="009C6450">
        <w:t xml:space="preserve"> para hacer frente a cada peso de los compromisos a corto plazo. </w:t>
      </w:r>
    </w:p>
    <w:p w:rsidR="0075582F" w:rsidRPr="009C6450" w:rsidRDefault="0075582F" w:rsidP="0075582F">
      <w:pPr>
        <w:autoSpaceDE w:val="0"/>
        <w:autoSpaceDN w:val="0"/>
        <w:adjustRightInd w:val="0"/>
        <w:jc w:val="both"/>
        <w:outlineLvl w:val="0"/>
      </w:pPr>
    </w:p>
    <w:p w:rsidR="0075582F" w:rsidRPr="009C6450" w:rsidRDefault="0075582F" w:rsidP="0075582F">
      <w:pPr>
        <w:autoSpaceDE w:val="0"/>
        <w:autoSpaceDN w:val="0"/>
        <w:adjustRightInd w:val="0"/>
        <w:jc w:val="both"/>
        <w:outlineLvl w:val="0"/>
      </w:pPr>
      <w:r w:rsidRPr="009C6450">
        <w:t xml:space="preserve">La razón de </w:t>
      </w:r>
      <w:r w:rsidRPr="009C6450">
        <w:rPr>
          <w:b/>
        </w:rPr>
        <w:t>solvencia</w:t>
      </w:r>
      <w:r w:rsidRPr="009C6450">
        <w:t xml:space="preserve"> muestra que las entidades cuentan con </w:t>
      </w:r>
      <w:r>
        <w:t>2.3</w:t>
      </w:r>
      <w:r w:rsidRPr="009C6450">
        <w:t xml:space="preserve"> pesos para cubrir cada peso que debe por sus compromisos a corto plazo. </w:t>
      </w:r>
    </w:p>
    <w:p w:rsidR="0075582F" w:rsidRPr="009C6450" w:rsidRDefault="0075582F" w:rsidP="0075582F">
      <w:pPr>
        <w:autoSpaceDE w:val="0"/>
        <w:autoSpaceDN w:val="0"/>
        <w:adjustRightInd w:val="0"/>
        <w:jc w:val="both"/>
        <w:outlineLvl w:val="0"/>
      </w:pPr>
    </w:p>
    <w:p w:rsidR="0075582F" w:rsidRPr="009C6450" w:rsidRDefault="0075582F" w:rsidP="0075582F">
      <w:pPr>
        <w:autoSpaceDE w:val="0"/>
        <w:autoSpaceDN w:val="0"/>
        <w:adjustRightInd w:val="0"/>
        <w:jc w:val="both"/>
        <w:outlineLvl w:val="0"/>
      </w:pPr>
      <w:r w:rsidRPr="009C6450">
        <w:t>La</w:t>
      </w:r>
      <w:r w:rsidRPr="009C6450">
        <w:rPr>
          <w:b/>
        </w:rPr>
        <w:t xml:space="preserve"> prueba del ácido</w:t>
      </w:r>
      <w:r w:rsidRPr="009C6450">
        <w:t xml:space="preserve"> indica que las entidades cuentan con </w:t>
      </w:r>
      <w:r>
        <w:t>2.3</w:t>
      </w:r>
      <w:r w:rsidRPr="009C6450">
        <w:t xml:space="preserve"> pesos de activos de conversión inmediata en efectivo por cada peso de pasivos a corto plazo. </w:t>
      </w:r>
    </w:p>
    <w:p w:rsidR="0075582F" w:rsidRPr="009C6450" w:rsidRDefault="0075582F" w:rsidP="0075582F">
      <w:pPr>
        <w:autoSpaceDE w:val="0"/>
        <w:autoSpaceDN w:val="0"/>
        <w:adjustRightInd w:val="0"/>
        <w:jc w:val="both"/>
        <w:outlineLvl w:val="0"/>
      </w:pPr>
    </w:p>
    <w:p w:rsidR="0075582F" w:rsidRPr="009C6450" w:rsidRDefault="0075582F" w:rsidP="0075582F">
      <w:pPr>
        <w:autoSpaceDE w:val="0"/>
        <w:autoSpaceDN w:val="0"/>
        <w:adjustRightInd w:val="0"/>
        <w:jc w:val="both"/>
        <w:outlineLvl w:val="0"/>
      </w:pPr>
      <w:r w:rsidRPr="009C6450">
        <w:t>La posición financiera que guardan las entidades muestra los ingresos y egresos al 3</w:t>
      </w:r>
      <w:r>
        <w:t>0</w:t>
      </w:r>
      <w:r w:rsidRPr="009C6450">
        <w:t xml:space="preserve"> de </w:t>
      </w:r>
      <w:r>
        <w:t xml:space="preserve">junio </w:t>
      </w:r>
      <w:r w:rsidRPr="009C6450">
        <w:t>del ejercicio 202</w:t>
      </w:r>
      <w:r>
        <w:t>1</w:t>
      </w:r>
      <w:r w:rsidRPr="009C6450">
        <w:t>.</w:t>
      </w:r>
    </w:p>
    <w:p w:rsidR="0075582F" w:rsidRPr="009C6450" w:rsidRDefault="0075582F" w:rsidP="0075582F">
      <w:pPr>
        <w:autoSpaceDE w:val="0"/>
        <w:autoSpaceDN w:val="0"/>
        <w:adjustRightInd w:val="0"/>
        <w:jc w:val="both"/>
        <w:outlineLvl w:val="0"/>
      </w:pPr>
    </w:p>
    <w:p w:rsidR="0075582F" w:rsidRPr="009C6450" w:rsidRDefault="0075582F" w:rsidP="0075582F">
      <w:r w:rsidRPr="009C6450">
        <w:br w:type="page"/>
      </w:r>
    </w:p>
    <w:p w:rsidR="0075582F" w:rsidRPr="009C6450" w:rsidRDefault="0075582F" w:rsidP="0075582F">
      <w:pPr>
        <w:pBdr>
          <w:bottom w:val="single" w:sz="12" w:space="1" w:color="808080" w:themeColor="background1" w:themeShade="80"/>
        </w:pBdr>
        <w:jc w:val="center"/>
        <w:rPr>
          <w:b/>
          <w:caps/>
        </w:rPr>
      </w:pPr>
      <w:r w:rsidRPr="009C6450">
        <w:rPr>
          <w:b/>
          <w:caps/>
        </w:rPr>
        <w:lastRenderedPageBreak/>
        <w:t>REPORTE ANALITICO DEL ACTIVO NO CIRCULANTE</w:t>
      </w:r>
    </w:p>
    <w:p w:rsidR="0075582F" w:rsidRPr="009C6450" w:rsidRDefault="0075582F" w:rsidP="0075582F">
      <w:pPr>
        <w:widowControl w:val="0"/>
        <w:jc w:val="both"/>
      </w:pPr>
    </w:p>
    <w:p w:rsidR="0075582F" w:rsidRPr="009C6450" w:rsidRDefault="0075582F" w:rsidP="0075582F">
      <w:pPr>
        <w:widowControl w:val="0"/>
        <w:jc w:val="both"/>
      </w:pPr>
      <w:r w:rsidRPr="009C6450">
        <w:t>A continuación se presentan los saldos por tipo de activo no circulante registrado en los estados financieros consolidados al periodo que se informa. Este reporte muestra el total de las adquisiciones que cada uno de los organismos públicos integran su patrimonio.</w:t>
      </w:r>
    </w:p>
    <w:p w:rsidR="0075582F" w:rsidRPr="009C6450" w:rsidRDefault="0075582F" w:rsidP="0075582F">
      <w:pPr>
        <w:widowControl w:val="0"/>
        <w:jc w:val="both"/>
      </w:pPr>
    </w:p>
    <w:p w:rsidR="0075582F" w:rsidRPr="009C6450" w:rsidRDefault="0075582F" w:rsidP="0075582F">
      <w:pPr>
        <w:widowControl w:val="0"/>
      </w:pPr>
      <w:r w:rsidRPr="00F2512B">
        <w:rPr>
          <w:noProof/>
          <w:lang w:eastAsia="es-MX"/>
        </w:rPr>
        <w:drawing>
          <wp:inline distT="0" distB="0" distL="0" distR="0" wp14:anchorId="0DBF7251" wp14:editId="0491518A">
            <wp:extent cx="6692265" cy="156934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1569345"/>
                    </a:xfrm>
                    <a:prstGeom prst="rect">
                      <a:avLst/>
                    </a:prstGeom>
                    <a:noFill/>
                    <a:ln>
                      <a:noFill/>
                    </a:ln>
                  </pic:spPr>
                </pic:pic>
              </a:graphicData>
            </a:graphic>
          </wp:inline>
        </w:drawing>
      </w:r>
    </w:p>
    <w:p w:rsidR="0075582F" w:rsidRPr="009C6450" w:rsidRDefault="0075582F" w:rsidP="0075582F">
      <w:pPr>
        <w:jc w:val="both"/>
        <w:rPr>
          <w:noProof/>
          <w:lang w:eastAsia="es-MX"/>
        </w:rPr>
      </w:pPr>
    </w:p>
    <w:p w:rsidR="0075582F" w:rsidRPr="009C6450" w:rsidRDefault="0075582F" w:rsidP="0075582F">
      <w:pPr>
        <w:jc w:val="both"/>
        <w:rPr>
          <w:noProof/>
          <w:lang w:eastAsia="es-MX"/>
        </w:rPr>
      </w:pPr>
    </w:p>
    <w:p w:rsidR="0075582F" w:rsidRPr="009C6450" w:rsidRDefault="0075582F" w:rsidP="0075582F">
      <w:pPr>
        <w:jc w:val="both"/>
        <w:rPr>
          <w:noProof/>
          <w:lang w:eastAsia="es-MX"/>
        </w:rPr>
      </w:pPr>
    </w:p>
    <w:p w:rsidR="0075582F" w:rsidRPr="009C6450" w:rsidRDefault="0075582F" w:rsidP="0075582F">
      <w:pPr>
        <w:rPr>
          <w:noProof/>
          <w:lang w:eastAsia="es-MX"/>
        </w:rPr>
      </w:pPr>
      <w:r w:rsidRPr="00F2512B">
        <w:rPr>
          <w:noProof/>
          <w:lang w:eastAsia="es-MX"/>
        </w:rPr>
        <w:drawing>
          <wp:inline distT="0" distB="0" distL="0" distR="0" wp14:anchorId="55F1D2E1" wp14:editId="3933E0F9">
            <wp:extent cx="6692265" cy="1850858"/>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1850858"/>
                    </a:xfrm>
                    <a:prstGeom prst="rect">
                      <a:avLst/>
                    </a:prstGeom>
                    <a:noFill/>
                    <a:ln>
                      <a:noFill/>
                    </a:ln>
                  </pic:spPr>
                </pic:pic>
              </a:graphicData>
            </a:graphic>
          </wp:inline>
        </w:drawing>
      </w:r>
    </w:p>
    <w:p w:rsidR="0075582F" w:rsidRPr="009C6450" w:rsidRDefault="0075582F" w:rsidP="0075582F">
      <w:pPr>
        <w:jc w:val="both"/>
        <w:rPr>
          <w:noProof/>
          <w:lang w:eastAsia="es-MX"/>
        </w:rPr>
      </w:pPr>
    </w:p>
    <w:p w:rsidR="0075582F" w:rsidRPr="009C6450" w:rsidRDefault="0075582F" w:rsidP="0075582F">
      <w:pPr>
        <w:jc w:val="both"/>
        <w:rPr>
          <w:noProof/>
          <w:lang w:eastAsia="es-MX"/>
        </w:rPr>
      </w:pPr>
    </w:p>
    <w:p w:rsidR="0075582F" w:rsidRPr="009C6450" w:rsidRDefault="0075582F" w:rsidP="0075582F">
      <w:pPr>
        <w:jc w:val="both"/>
        <w:rPr>
          <w:noProof/>
          <w:lang w:eastAsia="es-MX"/>
        </w:rPr>
      </w:pPr>
    </w:p>
    <w:p w:rsidR="0075582F" w:rsidRPr="009C6450" w:rsidRDefault="0075582F" w:rsidP="0075582F">
      <w:pPr>
        <w:rPr>
          <w:noProof/>
          <w:lang w:eastAsia="es-MX"/>
        </w:rPr>
      </w:pPr>
      <w:r w:rsidRPr="00F2512B">
        <w:rPr>
          <w:noProof/>
          <w:lang w:eastAsia="es-MX"/>
        </w:rPr>
        <w:drawing>
          <wp:inline distT="0" distB="0" distL="0" distR="0" wp14:anchorId="164A8521" wp14:editId="43E20034">
            <wp:extent cx="6692265" cy="1873194"/>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1873194"/>
                    </a:xfrm>
                    <a:prstGeom prst="rect">
                      <a:avLst/>
                    </a:prstGeom>
                    <a:noFill/>
                    <a:ln>
                      <a:noFill/>
                    </a:ln>
                  </pic:spPr>
                </pic:pic>
              </a:graphicData>
            </a:graphic>
          </wp:inline>
        </w:drawing>
      </w:r>
    </w:p>
    <w:p w:rsidR="0075582F" w:rsidRDefault="0075582F" w:rsidP="0075582F">
      <w:pPr>
        <w:jc w:val="both"/>
        <w:rPr>
          <w:noProof/>
          <w:lang w:eastAsia="es-MX"/>
        </w:rPr>
      </w:pPr>
    </w:p>
    <w:p w:rsidR="007D0586" w:rsidRDefault="007D0586" w:rsidP="0075582F">
      <w:pPr>
        <w:jc w:val="both"/>
        <w:rPr>
          <w:noProof/>
          <w:lang w:eastAsia="es-MX"/>
        </w:rPr>
      </w:pPr>
    </w:p>
    <w:p w:rsidR="007D0586" w:rsidRPr="009C6450" w:rsidRDefault="007D0586" w:rsidP="0075582F">
      <w:pPr>
        <w:jc w:val="both"/>
        <w:rPr>
          <w:noProof/>
          <w:lang w:eastAsia="es-MX"/>
        </w:rPr>
      </w:pPr>
      <w:bookmarkStart w:id="0" w:name="_GoBack"/>
      <w:bookmarkEnd w:id="0"/>
    </w:p>
    <w:p w:rsidR="0075582F" w:rsidRPr="009C6450" w:rsidRDefault="0075582F" w:rsidP="0075582F">
      <w:pPr>
        <w:rPr>
          <w:noProof/>
          <w:lang w:eastAsia="es-MX"/>
        </w:rPr>
      </w:pPr>
      <w:r w:rsidRPr="00F2512B">
        <w:rPr>
          <w:noProof/>
          <w:lang w:eastAsia="es-MX"/>
        </w:rPr>
        <w:lastRenderedPageBreak/>
        <w:drawing>
          <wp:inline distT="0" distB="0" distL="0" distR="0" wp14:anchorId="502EB417" wp14:editId="2ABFB118">
            <wp:extent cx="6657975" cy="1390650"/>
            <wp:effectExtent l="0" t="0" r="9525"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57975" cy="1390650"/>
                    </a:xfrm>
                    <a:prstGeom prst="rect">
                      <a:avLst/>
                    </a:prstGeom>
                    <a:noFill/>
                    <a:ln>
                      <a:noFill/>
                    </a:ln>
                  </pic:spPr>
                </pic:pic>
              </a:graphicData>
            </a:graphic>
          </wp:inline>
        </w:drawing>
      </w:r>
      <w:r w:rsidRPr="009C6450">
        <w:rPr>
          <w:noProof/>
          <w:lang w:eastAsia="es-MX"/>
        </w:rPr>
        <w:t xml:space="preserve"> </w:t>
      </w:r>
    </w:p>
    <w:p w:rsidR="0075582F" w:rsidRPr="009C6450" w:rsidRDefault="0075582F" w:rsidP="0075582F">
      <w:pPr>
        <w:rPr>
          <w:noProof/>
          <w:lang w:eastAsia="es-MX"/>
        </w:rPr>
      </w:pPr>
    </w:p>
    <w:p w:rsidR="0075582F" w:rsidRPr="009C6450" w:rsidRDefault="0075582F" w:rsidP="0075582F">
      <w:pPr>
        <w:rPr>
          <w:noProof/>
          <w:lang w:eastAsia="es-MX"/>
        </w:rPr>
      </w:pPr>
    </w:p>
    <w:p w:rsidR="0075582F" w:rsidRPr="009C6450" w:rsidRDefault="0075582F" w:rsidP="0075582F">
      <w:pPr>
        <w:rPr>
          <w:noProof/>
          <w:lang w:eastAsia="es-MX"/>
        </w:rPr>
      </w:pPr>
    </w:p>
    <w:p w:rsidR="0075582F" w:rsidRPr="009C6450" w:rsidRDefault="0075582F" w:rsidP="0075582F">
      <w:pPr>
        <w:rPr>
          <w:noProof/>
          <w:lang w:eastAsia="es-MX"/>
        </w:rPr>
      </w:pPr>
      <w:r w:rsidRPr="00F2512B">
        <w:rPr>
          <w:noProof/>
          <w:lang w:eastAsia="es-MX"/>
        </w:rPr>
        <w:drawing>
          <wp:inline distT="0" distB="0" distL="0" distR="0" wp14:anchorId="16F9BE49" wp14:editId="0605C4D3">
            <wp:extent cx="6692265" cy="1755612"/>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755612"/>
                    </a:xfrm>
                    <a:prstGeom prst="rect">
                      <a:avLst/>
                    </a:prstGeom>
                    <a:noFill/>
                    <a:ln>
                      <a:noFill/>
                    </a:ln>
                  </pic:spPr>
                </pic:pic>
              </a:graphicData>
            </a:graphic>
          </wp:inline>
        </w:drawing>
      </w:r>
    </w:p>
    <w:p w:rsidR="0075582F" w:rsidRPr="009C6450" w:rsidRDefault="0075582F" w:rsidP="0075582F">
      <w:pPr>
        <w:rPr>
          <w:noProof/>
          <w:lang w:eastAsia="es-MX"/>
        </w:rPr>
      </w:pPr>
    </w:p>
    <w:p w:rsidR="0075582F" w:rsidRPr="009C6450" w:rsidRDefault="0075582F" w:rsidP="0075582F">
      <w:pPr>
        <w:rPr>
          <w:noProof/>
          <w:lang w:eastAsia="es-MX"/>
        </w:rPr>
      </w:pPr>
    </w:p>
    <w:p w:rsidR="0075582F" w:rsidRPr="009C6450" w:rsidRDefault="0075582F" w:rsidP="0075582F">
      <w:pPr>
        <w:rPr>
          <w:noProof/>
          <w:lang w:eastAsia="es-MX"/>
        </w:rPr>
      </w:pPr>
    </w:p>
    <w:p w:rsidR="0075582F" w:rsidRDefault="0075582F" w:rsidP="0075582F">
      <w:pPr>
        <w:rPr>
          <w:noProof/>
          <w:lang w:eastAsia="es-MX"/>
        </w:rPr>
      </w:pPr>
      <w:r w:rsidRPr="00F2512B">
        <w:rPr>
          <w:noProof/>
          <w:lang w:eastAsia="es-MX"/>
        </w:rPr>
        <w:drawing>
          <wp:inline distT="0" distB="0" distL="0" distR="0" wp14:anchorId="265C7F03" wp14:editId="45815DF2">
            <wp:extent cx="6692265" cy="1880044"/>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1880044"/>
                    </a:xfrm>
                    <a:prstGeom prst="rect">
                      <a:avLst/>
                    </a:prstGeom>
                    <a:noFill/>
                    <a:ln>
                      <a:noFill/>
                    </a:ln>
                  </pic:spPr>
                </pic:pic>
              </a:graphicData>
            </a:graphic>
          </wp:inline>
        </w:drawing>
      </w:r>
    </w:p>
    <w:p w:rsidR="0075582F" w:rsidRDefault="0075582F" w:rsidP="0075582F">
      <w:pPr>
        <w:rPr>
          <w:noProof/>
          <w:lang w:eastAsia="es-MX"/>
        </w:rPr>
      </w:pPr>
    </w:p>
    <w:p w:rsidR="0075582F" w:rsidRDefault="0075582F" w:rsidP="0075582F">
      <w:pPr>
        <w:rPr>
          <w:noProof/>
          <w:lang w:eastAsia="es-MX"/>
        </w:rPr>
      </w:pPr>
    </w:p>
    <w:p w:rsidR="0075582F" w:rsidRDefault="0075582F" w:rsidP="0075582F">
      <w:pPr>
        <w:rPr>
          <w:noProof/>
          <w:lang w:eastAsia="es-MX"/>
        </w:rPr>
      </w:pPr>
    </w:p>
    <w:p w:rsidR="0075582F" w:rsidRPr="009C6450" w:rsidRDefault="0075582F" w:rsidP="0075582F">
      <w:pPr>
        <w:jc w:val="center"/>
        <w:rPr>
          <w:noProof/>
          <w:lang w:eastAsia="es-MX"/>
        </w:rPr>
      </w:pPr>
      <w:r w:rsidRPr="00F2512B">
        <w:rPr>
          <w:noProof/>
          <w:lang w:eastAsia="es-MX"/>
        </w:rPr>
        <w:drawing>
          <wp:inline distT="0" distB="0" distL="0" distR="0" wp14:anchorId="0EFDEE2D" wp14:editId="3EA6DEFB">
            <wp:extent cx="6692265" cy="1321582"/>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321582"/>
                    </a:xfrm>
                    <a:prstGeom prst="rect">
                      <a:avLst/>
                    </a:prstGeom>
                    <a:noFill/>
                    <a:ln>
                      <a:noFill/>
                    </a:ln>
                  </pic:spPr>
                </pic:pic>
              </a:graphicData>
            </a:graphic>
          </wp:inline>
        </w:drawing>
      </w:r>
    </w:p>
    <w:p w:rsidR="0075582F" w:rsidRPr="009C6450" w:rsidRDefault="0075582F" w:rsidP="0075582F">
      <w:pPr>
        <w:rPr>
          <w:noProof/>
          <w:lang w:eastAsia="es-MX"/>
        </w:rPr>
      </w:pPr>
    </w:p>
    <w:p w:rsidR="0075582F" w:rsidRPr="009C6450" w:rsidRDefault="0075582F" w:rsidP="0075582F">
      <w:pPr>
        <w:rPr>
          <w:noProof/>
          <w:lang w:eastAsia="es-MX"/>
        </w:rPr>
      </w:pPr>
    </w:p>
    <w:p w:rsidR="0075582F" w:rsidRDefault="0075582F" w:rsidP="00CC5F87">
      <w:pPr>
        <w:outlineLvl w:val="0"/>
      </w:pPr>
    </w:p>
    <w:sectPr w:rsidR="0075582F" w:rsidSect="006E7DD1">
      <w:headerReference w:type="default" r:id="rId48"/>
      <w:footerReference w:type="even" r:id="rId49"/>
      <w:footerReference w:type="default" r:id="rId50"/>
      <w:headerReference w:type="first" r:id="rId51"/>
      <w:footerReference w:type="first" r:id="rId5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A9" w:rsidRDefault="00775EA9">
      <w:r>
        <w:separator/>
      </w:r>
    </w:p>
  </w:endnote>
  <w:endnote w:type="continuationSeparator" w:id="0">
    <w:p w:rsidR="00775EA9" w:rsidRDefault="0077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alibri"/>
    <w:panose1 w:val="0200060404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roman"/>
    <w:notTrueType/>
    <w:pitch w:val="fixed"/>
    <w:sig w:usb0="00000001" w:usb1="08070000" w:usb2="00000010" w:usb3="00000000" w:csb0="00020000"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D0586">
      <w:rPr>
        <w:rFonts w:ascii="HelveticaNeueLT Std Lt" w:eastAsia="Kozuka Gothic Pro B" w:hAnsi="HelveticaNeueLT Std Lt"/>
        <w:noProof/>
        <w:color w:val="FFFFFF" w:themeColor="background1"/>
        <w:sz w:val="22"/>
        <w:szCs w:val="22"/>
        <w:lang w:val="es-MX"/>
      </w:rPr>
      <w:t>17</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A9" w:rsidRDefault="00775EA9">
      <w:r>
        <w:separator/>
      </w:r>
    </w:p>
  </w:footnote>
  <w:footnote w:type="continuationSeparator" w:id="0">
    <w:p w:rsidR="00775EA9" w:rsidRDefault="00775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C5F8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E406D9">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C5F8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E406D9">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582F"/>
    <w:rsid w:val="00756880"/>
    <w:rsid w:val="00757489"/>
    <w:rsid w:val="00761083"/>
    <w:rsid w:val="00761867"/>
    <w:rsid w:val="007639C2"/>
    <w:rsid w:val="00765701"/>
    <w:rsid w:val="00767196"/>
    <w:rsid w:val="00770B6B"/>
    <w:rsid w:val="0077301A"/>
    <w:rsid w:val="00775EA9"/>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058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06D9"/>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11.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chart" Target="charts/chart3.xml"/><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header" Target="header1.xml"/><Relationship Id="rId8" Type="http://schemas.openxmlformats.org/officeDocument/2006/relationships/chart" Target="charts/chart1.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IAGF2021\Tomo%20II\Carlitos\8%20Entidades%203\36a%20Graficas%20Entidades3%20Jun%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IAGF2021\Tomo%20II\Carlitos\8%20Entidades%203\36a%20Graficas%20Entidades3%20Jun%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ernandezg\Desktop\IAGF2021\Tomo%20II\Carlitos\8%20Entidades%203\36a%20Graficas%20Entidades3%20Jun%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268.1</a:t>
            </a:r>
            <a:r>
              <a:rPr lang="es-MX" sz="1200" b="0" baseline="0">
                <a:solidFill>
                  <a:srgbClr val="595959"/>
                </a:solidFill>
              </a:rPr>
              <a:t> </a:t>
            </a:r>
            <a:r>
              <a:rPr lang="es-MX" sz="1200" b="0">
                <a:solidFill>
                  <a:srgbClr val="595959"/>
                </a:solidFill>
              </a:rPr>
              <a:t>(Millones de Pesos)</a:t>
            </a:r>
          </a:p>
        </c:rich>
      </c:tx>
      <c:overlay val="0"/>
      <c:spPr>
        <a:noFill/>
        <a:ln>
          <a:noFill/>
        </a:ln>
        <a:effectLst/>
      </c:spPr>
    </c:title>
    <c:autoTitleDeleted val="0"/>
    <c:view3D>
      <c:rotX val="0"/>
      <c:rotY val="0"/>
      <c:depthPercent val="40"/>
      <c:rAngAx val="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4958862465424131E-2"/>
          <c:y val="0.2367073578889887"/>
          <c:w val="0.90952812510240988"/>
          <c:h val="0.44250171748665645"/>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4036666469322914E-2"/>
                  <c:y val="-1.0552531822479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8.7956900124326193E-3"/>
                  <c:y val="3.095319602180318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1.5520691492511541E-3"/>
                  <c:y val="-1.139601650896942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9321532176899675E-3"/>
                  <c:y val="-9.848581038913013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1.3168038205750597E-2"/>
                  <c:y val="-1.96967134157585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1.9134923923983332E-2"/>
                  <c:y val="5.207171952877920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'[36a Graficas Entidades3 Jun 21.xlsx]GRAFICA 45 ACT CIRC'!$B$6:$B$12</c:f>
              <c:strCache>
                <c:ptCount val="7"/>
                <c:pt idx="0">
                  <c:v>Efectivo y Equivalentes</c:v>
                </c:pt>
                <c:pt idx="1">
                  <c:v>Derechos a Recibir Efectivo o Equivalentes</c:v>
                </c:pt>
                <c:pt idx="2">
                  <c:v>Derechos a Recibir Bienes o Servicios</c:v>
                </c:pt>
                <c:pt idx="3">
                  <c:v>Inventarios</c:v>
                </c:pt>
                <c:pt idx="4">
                  <c:v>Almacenes</c:v>
                </c:pt>
                <c:pt idx="5">
                  <c:v>Estimación por Pérdida o Deterioro de Activos Circulantes</c:v>
                </c:pt>
                <c:pt idx="6">
                  <c:v>Otros Activos Circulantes</c:v>
                </c:pt>
              </c:strCache>
            </c:strRef>
          </c:cat>
          <c:val>
            <c:numRef>
              <c:f>'[36a Graficas Entidades3 Jun 21.xlsx]GRAFICA 45 ACT CIRC'!$C$6:$C$12</c:f>
              <c:numCache>
                <c:formatCode>#\ ##0.0</c:formatCode>
                <c:ptCount val="7"/>
                <c:pt idx="0">
                  <c:v>173.3</c:v>
                </c:pt>
                <c:pt idx="1">
                  <c:v>83.8</c:v>
                </c:pt>
                <c:pt idx="2">
                  <c:v>8</c:v>
                </c:pt>
                <c:pt idx="3">
                  <c:v>1.2</c:v>
                </c:pt>
                <c:pt idx="4">
                  <c:v>5.2</c:v>
                </c:pt>
                <c:pt idx="5">
                  <c:v>-4</c:v>
                </c:pt>
                <c:pt idx="6">
                  <c:v>0.6</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247203960"/>
        <c:axId val="248976016"/>
        <c:axId val="0"/>
      </c:bar3DChart>
      <c:catAx>
        <c:axId val="247203960"/>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rgbClr val="595959"/>
                </a:solidFill>
                <a:latin typeface="+mn-lt"/>
                <a:ea typeface="+mn-ea"/>
                <a:cs typeface="+mn-cs"/>
              </a:defRPr>
            </a:pPr>
            <a:endParaRPr lang="es-MX"/>
          </a:p>
        </c:txPr>
        <c:crossAx val="248976016"/>
        <c:crosses val="autoZero"/>
        <c:auto val="1"/>
        <c:lblAlgn val="ctr"/>
        <c:lblOffset val="100"/>
        <c:noMultiLvlLbl val="0"/>
      </c:catAx>
      <c:valAx>
        <c:axId val="248976016"/>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47203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2 054.4 (Millones de Pesos)</a:t>
            </a:r>
          </a:p>
        </c:rich>
      </c:tx>
      <c:overlay val="0"/>
      <c:spPr>
        <a:noFill/>
        <a:ln>
          <a:noFill/>
        </a:ln>
        <a:effectLst/>
      </c:spPr>
    </c:title>
    <c:autoTitleDeleted val="0"/>
    <c:view3D>
      <c:rotX val="0"/>
      <c:rotY val="0"/>
      <c:depthPercent val="40"/>
      <c:rAngAx val="0"/>
      <c:perspective val="7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063628410085098E-2"/>
          <c:y val="0.25173911751597089"/>
          <c:w val="0.90952812510240988"/>
          <c:h val="0.45075184469865787"/>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1.579615048118985E-2"/>
                  <c:y val="-1.2451443569553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4.2173705559532945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5.1058946410520202E-3"/>
                  <c:y val="8.7792372521784179E-2"/>
                </c:manualLayout>
              </c:layout>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chemeClr val="bg1"/>
                      </a:solidFill>
                      <a:latin typeface="+mn-lt"/>
                      <a:ea typeface="+mn-ea"/>
                      <a:cs typeface="+mn-cs"/>
                    </a:defRPr>
                  </a:pPr>
                  <a:endParaRPr lang="es-MX"/>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15:spPr xmlns:c15="http://schemas.microsoft.com/office/drawing/2012/chart">
                    <a:prstGeom prst="rect">
                      <a:avLst/>
                    </a:prstGeom>
                  </c15:spPr>
                </c:ext>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882154882154E-2"/>
                  <c:y val="1.50864160847818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'[36a Graficas Entidades3 Jun 21.xlsx]GRAFICA 46 ACT NO CIRC'!$B$6:$B$11</c:f>
              <c:strCache>
                <c:ptCount val="6"/>
                <c:pt idx="0">
                  <c:v>Derechos a Recibir Efectivo o Equivalentes a Largo Plazo</c:v>
                </c:pt>
                <c:pt idx="1">
                  <c:v>Bienes Inmuebles, Infraestructura y Construcciones en Proceso</c:v>
                </c:pt>
                <c:pt idx="2">
                  <c:v>Bienes Muebles</c:v>
                </c:pt>
                <c:pt idx="3">
                  <c:v>Depreciación, Deterioro y Amortización Acumulada de Bienes</c:v>
                </c:pt>
                <c:pt idx="4">
                  <c:v>Activos Diferidos</c:v>
                </c:pt>
                <c:pt idx="5">
                  <c:v>Otros Activos no Circulantes</c:v>
                </c:pt>
              </c:strCache>
            </c:strRef>
          </c:cat>
          <c:val>
            <c:numRef>
              <c:f>'[36a Graficas Entidades3 Jun 21.xlsx]GRAFICA 46 ACT NO CIRC'!$C$6:$C$11</c:f>
              <c:numCache>
                <c:formatCode>#\ ##0.0</c:formatCode>
                <c:ptCount val="6"/>
                <c:pt idx="0">
                  <c:v>106.4</c:v>
                </c:pt>
                <c:pt idx="1">
                  <c:v>2523.5</c:v>
                </c:pt>
                <c:pt idx="2">
                  <c:v>280.89999999999998</c:v>
                </c:pt>
                <c:pt idx="3">
                  <c:v>-872.2</c:v>
                </c:pt>
                <c:pt idx="4">
                  <c:v>12.6</c:v>
                </c:pt>
                <c:pt idx="5">
                  <c:v>3.2</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456858144"/>
        <c:axId val="664219624"/>
        <c:axId val="0"/>
      </c:bar3DChart>
      <c:catAx>
        <c:axId val="456858144"/>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664219624"/>
        <c:crosses val="autoZero"/>
        <c:auto val="1"/>
        <c:lblAlgn val="ctr"/>
        <c:lblOffset val="100"/>
        <c:noMultiLvlLbl val="0"/>
      </c:catAx>
      <c:valAx>
        <c:axId val="664219624"/>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456858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a:t>
            </a:r>
            <a:r>
              <a:rPr lang="es-MX" sz="1400" baseline="0">
                <a:solidFill>
                  <a:srgbClr val="595959"/>
                </a:solidFill>
              </a:rPr>
              <a:t> NO </a:t>
            </a:r>
            <a:r>
              <a:rPr lang="es-MX" sz="1400">
                <a:solidFill>
                  <a:srgbClr val="595959"/>
                </a:solidFill>
              </a:rPr>
              <a:t>CIRCULANTE</a:t>
            </a:r>
            <a:r>
              <a:rPr lang="es-MX" sz="1400" baseline="0">
                <a:solidFill>
                  <a:srgbClr val="595959"/>
                </a:solidFill>
              </a:rPr>
              <a:t>  JUNIO </a:t>
            </a:r>
            <a:r>
              <a:rPr lang="es-MX" sz="1400">
                <a:solidFill>
                  <a:srgbClr val="595959"/>
                </a:solidFill>
              </a:rPr>
              <a:t>2021</a:t>
            </a:r>
          </a:p>
          <a:p>
            <a:pPr>
              <a:defRPr sz="1400" b="1" i="0" u="none" strike="noStrike" kern="1200" baseline="0">
                <a:solidFill>
                  <a:srgbClr val="595959"/>
                </a:solidFill>
                <a:latin typeface="+mn-lt"/>
                <a:ea typeface="+mn-ea"/>
                <a:cs typeface="+mn-cs"/>
              </a:defRPr>
            </a:pPr>
            <a:r>
              <a:rPr lang="es-MX" sz="1200" b="0">
                <a:solidFill>
                  <a:srgbClr val="595959"/>
                </a:solidFill>
              </a:rPr>
              <a:t>TOTAL: 207.4 (Millones de Pesos)</a:t>
            </a:r>
          </a:p>
        </c:rich>
      </c:tx>
      <c:overlay val="0"/>
      <c:spPr>
        <a:noFill/>
        <a:ln>
          <a:noFill/>
        </a:ln>
        <a:effectLst/>
      </c:spPr>
    </c:title>
    <c:autoTitleDeleted val="0"/>
    <c:view3D>
      <c:rotX val="0"/>
      <c:rotY val="0"/>
      <c:depthPercent val="40"/>
      <c:rAngAx val="0"/>
      <c:perspective val="2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131758530183721E-2"/>
          <c:y val="0.31551517598761691"/>
          <c:w val="0.90952812510240988"/>
          <c:h val="0.3833613746999574"/>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4CE4-4810-9580-7B5809FDB518}"/>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4CE4-4810-9580-7B5809FDB518}"/>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4CE4-4810-9580-7B5809FDB518}"/>
              </c:ext>
            </c:extLst>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extLst xmlns:c16r2="http://schemas.microsoft.com/office/drawing/2015/06/chart">
              <c:ext xmlns:c16="http://schemas.microsoft.com/office/drawing/2014/chart" uri="{C3380CC4-5D6E-409C-BE32-E72D297353CC}">
                <c16:uniqueId val="{00000007-4CE4-4810-9580-7B5809FDB518}"/>
              </c:ext>
            </c:extLst>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extLst xmlns:c16r2="http://schemas.microsoft.com/office/drawing/2015/06/chart">
              <c:ext xmlns:c16="http://schemas.microsoft.com/office/drawing/2014/chart" uri="{C3380CC4-5D6E-409C-BE32-E72D297353CC}">
                <c16:uniqueId val="{00000009-4CE4-4810-9580-7B5809FDB518}"/>
              </c:ext>
            </c:extLst>
          </c:dPt>
          <c:dPt>
            <c:idx val="5"/>
            <c:invertIfNegative val="0"/>
            <c:bubble3D val="0"/>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extLst xmlns:c16r2="http://schemas.microsoft.com/office/drawing/2015/06/chart">
              <c:ext xmlns:c16="http://schemas.microsoft.com/office/drawing/2014/chart" uri="{C3380CC4-5D6E-409C-BE32-E72D297353CC}">
                <c16:uniqueId val="{0000000B-4CE4-4810-9580-7B5809FDB518}"/>
              </c:ext>
            </c:extLst>
          </c:dPt>
          <c:dPt>
            <c:idx val="6"/>
            <c:invertIfNegative val="0"/>
            <c:bubble3D val="0"/>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4CE4-4810-9580-7B5809FDB518}"/>
              </c:ext>
            </c:extLst>
          </c:dPt>
          <c:dPt>
            <c:idx val="7"/>
            <c:invertIfNegative val="0"/>
            <c:bubble3D val="0"/>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4CE4-4810-9580-7B5809FDB518}"/>
              </c:ext>
            </c:extLst>
          </c:dPt>
          <c:dLbls>
            <c:dLbl>
              <c:idx val="0"/>
              <c:layout>
                <c:manualLayout>
                  <c:x val="4.0116153364041177E-3"/>
                  <c:y val="-1.24513669542029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E4-4810-9580-7B5809FDB518}"/>
                </c:ext>
                <c:ext xmlns:c15="http://schemas.microsoft.com/office/drawing/2012/chart" uri="{CE6537A1-D6FC-4f65-9D91-7224C49458BB}"/>
              </c:extLst>
            </c:dLbl>
            <c:dLbl>
              <c:idx val="1"/>
              <c:layout>
                <c:manualLayout>
                  <c:x val="2.7806743135210289E-3"/>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CE4-4810-9580-7B5809FDB518}"/>
                </c:ext>
                <c:ext xmlns:c15="http://schemas.microsoft.com/office/drawing/2012/chart" uri="{CE6537A1-D6FC-4f65-9D91-7224C49458BB}"/>
              </c:extLst>
            </c:dLbl>
            <c:dLbl>
              <c:idx val="2"/>
              <c:layout>
                <c:manualLayout>
                  <c:x val="-7.567158531971244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E4-4810-9580-7B5809FDB518}"/>
                </c:ext>
                <c:ext xmlns:c15="http://schemas.microsoft.com/office/drawing/2012/chart" uri="{CE6537A1-D6FC-4f65-9D91-7224C49458BB}"/>
              </c:extLst>
            </c:dLbl>
            <c:dLbl>
              <c:idx val="3"/>
              <c:layout>
                <c:manualLayout>
                  <c:x val="-9.9422243752378681E-3"/>
                  <c:y val="-4.150455651400941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CE4-4810-9580-7B5809FDB518}"/>
                </c:ext>
                <c:ext xmlns:c15="http://schemas.microsoft.com/office/drawing/2012/chart" uri="{CE6537A1-D6FC-4f65-9D91-7224C49458BB}"/>
              </c:extLst>
            </c:dLbl>
            <c:dLbl>
              <c:idx val="4"/>
              <c:layout>
                <c:manualLayout>
                  <c:x val="-2.1188043889519486E-2"/>
                  <c:y val="-8.300911302801883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4CE4-4810-9580-7B5809FDB518}"/>
                </c:ext>
                <c:ext xmlns:c15="http://schemas.microsoft.com/office/drawing/2012/chart" uri="{CE6537A1-D6FC-4f65-9D91-7224C49458BB}"/>
              </c:extLst>
            </c:dLbl>
            <c:dLbl>
              <c:idx val="5"/>
              <c:layout>
                <c:manualLayout>
                  <c:x val="-2.7154926802032957E-2"/>
                  <c:y val="1.6603129835730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CE4-4810-9580-7B5809FDB518}"/>
                </c:ex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CE4-4810-9580-7B5809FDB518}"/>
                </c:ext>
                <c:ext xmlns:c15="http://schemas.microsoft.com/office/drawing/2012/chart" uri="{CE6537A1-D6FC-4f65-9D91-7224C49458BB}"/>
              </c:extLst>
            </c:dLbl>
            <c:dLbl>
              <c:idx val="7"/>
              <c:layout>
                <c:manualLayout>
                  <c:x val="-4.0370245690091656E-2"/>
                  <c:y val="-1.660182260560376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CE4-4810-9580-7B5809FDB518}"/>
                </c:ex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0"/>
              </c:ext>
            </c:extLst>
          </c:dLbls>
          <c:cat>
            <c:strRef>
              <c:f>'[36a Graficas Entidades3 Jun 21.xlsx]GRAFICA 48 PAS NO CIRC'!$B$6:$B$10</c:f>
              <c:strCache>
                <c:ptCount val="5"/>
                <c:pt idx="0">
                  <c:v>Cuentas por Pagar a Largo Plazo</c:v>
                </c:pt>
                <c:pt idx="1">
                  <c:v>Documentos por Pagar a Largo Plazo</c:v>
                </c:pt>
                <c:pt idx="2">
                  <c:v>Deuda Pública a Largo Plazo</c:v>
                </c:pt>
                <c:pt idx="3">
                  <c:v>Pasivos Diferidos a Largo Plazo</c:v>
                </c:pt>
                <c:pt idx="4">
                  <c:v>Fondos y Bienes de Terceros en Garantía y/o Administración a Largo Plazo</c:v>
                </c:pt>
              </c:strCache>
            </c:strRef>
          </c:cat>
          <c:val>
            <c:numRef>
              <c:f>'[36a Graficas Entidades3 Jun 21.xlsx]GRAFICA 48 PAS NO CIRC'!$C$6:$C$10</c:f>
              <c:numCache>
                <c:formatCode>#\ ##0.0</c:formatCode>
                <c:ptCount val="5"/>
                <c:pt idx="0">
                  <c:v>29.8</c:v>
                </c:pt>
                <c:pt idx="1">
                  <c:v>125.7</c:v>
                </c:pt>
                <c:pt idx="2">
                  <c:v>3.2</c:v>
                </c:pt>
                <c:pt idx="3">
                  <c:v>41.6</c:v>
                </c:pt>
                <c:pt idx="4">
                  <c:v>7.1</c:v>
                </c:pt>
              </c:numCache>
            </c:numRef>
          </c:val>
          <c:shape val="cylinder"/>
          <c:extLst xmlns:c16r2="http://schemas.microsoft.com/office/drawing/2015/06/chart">
            <c:ext xmlns:c16="http://schemas.microsoft.com/office/drawing/2014/chart" uri="{C3380CC4-5D6E-409C-BE32-E72D297353CC}">
              <c16:uniqueId val="{00000010-4CE4-4810-9580-7B5809FDB518}"/>
            </c:ext>
          </c:extLst>
        </c:ser>
        <c:dLbls>
          <c:showLegendKey val="0"/>
          <c:showVal val="0"/>
          <c:showCatName val="0"/>
          <c:showSerName val="0"/>
          <c:showPercent val="0"/>
          <c:showBubbleSize val="0"/>
        </c:dLbls>
        <c:gapWidth val="65"/>
        <c:shape val="box"/>
        <c:axId val="664220408"/>
        <c:axId val="664220800"/>
        <c:axId val="0"/>
      </c:bar3DChart>
      <c:catAx>
        <c:axId val="664220408"/>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rgbClr val="595959"/>
                </a:solidFill>
                <a:latin typeface="+mn-lt"/>
                <a:ea typeface="+mn-ea"/>
                <a:cs typeface="+mn-cs"/>
              </a:defRPr>
            </a:pPr>
            <a:endParaRPr lang="es-MX"/>
          </a:p>
        </c:txPr>
        <c:crossAx val="664220800"/>
        <c:crosses val="autoZero"/>
        <c:auto val="1"/>
        <c:lblAlgn val="ctr"/>
        <c:lblOffset val="100"/>
        <c:noMultiLvlLbl val="0"/>
      </c:catAx>
      <c:valAx>
        <c:axId val="664220800"/>
        <c:scaling>
          <c:orientation val="minMax"/>
        </c:scaling>
        <c:delete val="0"/>
        <c:axPos val="l"/>
        <c:majorGridlines>
          <c:spPr>
            <a:ln w="9525" cap="flat" cmpd="sng" algn="ctr">
              <a:solidFill>
                <a:schemeClr val="dk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664220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F939-8D88-4A2A-919E-E3AEF64E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3126</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9</cp:revision>
  <cp:lastPrinted>2017-10-24T17:28:00Z</cp:lastPrinted>
  <dcterms:created xsi:type="dcterms:W3CDTF">2019-05-02T21:11:00Z</dcterms:created>
  <dcterms:modified xsi:type="dcterms:W3CDTF">2021-08-26T16:27:00Z</dcterms:modified>
</cp:coreProperties>
</file>