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35" w:rsidRPr="005768F3" w:rsidRDefault="00863835" w:rsidP="00863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 xml:space="preserve">Título VI </w:t>
      </w:r>
    </w:p>
    <w:p w:rsidR="00863835" w:rsidRPr="005768F3" w:rsidRDefault="00863835" w:rsidP="00863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>De las Inversiones Financieras</w:t>
      </w:r>
    </w:p>
    <w:p w:rsidR="00863835" w:rsidRPr="005768F3" w:rsidRDefault="00863835" w:rsidP="008638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768F3">
        <w:rPr>
          <w:rFonts w:ascii="Arial" w:hAnsi="Arial" w:cs="Arial"/>
          <w:b/>
          <w:sz w:val="24"/>
          <w:szCs w:val="24"/>
        </w:rPr>
        <w:t>de</w:t>
      </w:r>
      <w:proofErr w:type="gramEnd"/>
      <w:r w:rsidRPr="005768F3">
        <w:rPr>
          <w:rFonts w:ascii="Arial" w:hAnsi="Arial" w:cs="Arial"/>
          <w:b/>
          <w:sz w:val="24"/>
          <w:szCs w:val="24"/>
        </w:rPr>
        <w:t xml:space="preserve"> Recursos de Libre Disposición y Federal Etiquetado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>Artículo 74.-</w:t>
      </w:r>
      <w:r w:rsidRPr="008A21C0">
        <w:rPr>
          <w:rFonts w:ascii="Arial" w:hAnsi="Arial" w:cs="Arial"/>
          <w:sz w:val="24"/>
          <w:szCs w:val="24"/>
        </w:rPr>
        <w:t xml:space="preserve"> Los Organismos Públicos del Estado, podrán realizar las inversiones financieras con las instituciones bancarias donde manejen sus recursos financieros, quedando bajo su responsabilidad la determinación de saldos disponibles a mantener en las cuentas bancarias, las cuales deberán ser en instrumentos de renta fija, es decir, que garanticen al 100 por ciento la recuperación del capital invertido, a corto plazo, que garanticen íntegramente el capital invertido;  no podrán invertirse en instrumentos que signifiquen un riesgo financiero para los recursos públicos, además deberán considerar lo siguiente:</w:t>
      </w:r>
    </w:p>
    <w:p w:rsidR="00863835" w:rsidRPr="008A21C0" w:rsidRDefault="00863835" w:rsidP="00863835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 xml:space="preserve">I. </w:t>
      </w:r>
      <w:r w:rsidRPr="008A21C0">
        <w:rPr>
          <w:rFonts w:ascii="Arial" w:hAnsi="Arial" w:cs="Arial"/>
          <w:sz w:val="24"/>
          <w:szCs w:val="24"/>
        </w:rPr>
        <w:t>Determinarán el saldo disponible real de cada cuenta maestra de recursos de libre disposición o federal etiquetado, de acuerdo a los registros de disponibilidad.</w:t>
      </w:r>
    </w:p>
    <w:p w:rsidR="00863835" w:rsidRPr="008A21C0" w:rsidRDefault="00863835" w:rsidP="00863835">
      <w:pPr>
        <w:tabs>
          <w:tab w:val="num" w:pos="0"/>
          <w:tab w:val="num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>II.</w:t>
      </w:r>
      <w:r w:rsidRPr="008A21C0">
        <w:rPr>
          <w:rFonts w:ascii="Arial" w:hAnsi="Arial" w:cs="Arial"/>
          <w:sz w:val="24"/>
          <w:szCs w:val="24"/>
        </w:rPr>
        <w:t xml:space="preserve"> En los saldos disponibles, deben considerar los compromisos de pago y una cantidad suficiente para cubrir gastos imprevistos o extraordinarios; entendiéndose como gastos imprevistos aquellos que deben ser pagados, el mismo día en que se generen.</w:t>
      </w:r>
    </w:p>
    <w:p w:rsidR="00863835" w:rsidRPr="008A21C0" w:rsidRDefault="00863835" w:rsidP="00863835">
      <w:pPr>
        <w:tabs>
          <w:tab w:val="num" w:pos="0"/>
          <w:tab w:val="num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tabs>
          <w:tab w:val="num" w:pos="0"/>
          <w:tab w:val="num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>III.</w:t>
      </w:r>
      <w:r w:rsidRPr="008A21C0">
        <w:rPr>
          <w:rFonts w:ascii="Arial" w:hAnsi="Arial" w:cs="Arial"/>
          <w:sz w:val="24"/>
          <w:szCs w:val="24"/>
        </w:rPr>
        <w:t xml:space="preserve"> El saldo que determine cada Organismo Público, después de restarle los compromisos de pago y el monto para gastos imprevistos, será invertido en mesa de dinero, por el plazo existente desde el día de la inversión hasta el siguiente día hábil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 xml:space="preserve">IV. </w:t>
      </w:r>
      <w:r w:rsidRPr="008A21C0">
        <w:rPr>
          <w:rFonts w:ascii="Arial" w:hAnsi="Arial" w:cs="Arial"/>
          <w:sz w:val="24"/>
          <w:szCs w:val="24"/>
        </w:rPr>
        <w:t>Será responsabilidad del Organismo Público enviar, de forma diaria a través de correo electrónico, el informe de saldos bancarios en cuentas maestras de recurso de libre disposición o federal etiquetado a invertir en mesa de dinero, según carta de instrucción a las instituciones financieras, firmado por el facultado para realizar las inversiones,  en horario convenido con las instituciones bancarias, verificando lo siguiente: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pStyle w:val="Prrafodelista"/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Fecha de Inversión</w:t>
      </w:r>
    </w:p>
    <w:p w:rsidR="00863835" w:rsidRPr="008A21C0" w:rsidRDefault="00863835" w:rsidP="0086383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Número de Cuenta</w:t>
      </w:r>
    </w:p>
    <w:p w:rsidR="00863835" w:rsidRPr="008A21C0" w:rsidRDefault="00863835" w:rsidP="0086383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Nombre de la Cuenta</w:t>
      </w:r>
    </w:p>
    <w:p w:rsidR="00863835" w:rsidRPr="008A21C0" w:rsidRDefault="00863835" w:rsidP="0086383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Montos a invertir</w:t>
      </w:r>
    </w:p>
    <w:p w:rsidR="00863835" w:rsidRPr="008A21C0" w:rsidRDefault="00863835" w:rsidP="0086383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Plazo</w:t>
      </w:r>
    </w:p>
    <w:p w:rsidR="00863835" w:rsidRPr="008A21C0" w:rsidRDefault="00863835" w:rsidP="00863835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Tasa convenida</w:t>
      </w:r>
    </w:p>
    <w:p w:rsidR="00863835" w:rsidRPr="008A21C0" w:rsidRDefault="00863835" w:rsidP="00863835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lastRenderedPageBreak/>
        <w:t xml:space="preserve">V. </w:t>
      </w:r>
      <w:r w:rsidRPr="008A21C0">
        <w:rPr>
          <w:rFonts w:ascii="Arial" w:hAnsi="Arial" w:cs="Arial"/>
          <w:sz w:val="24"/>
          <w:szCs w:val="24"/>
        </w:rPr>
        <w:t>La institución bancaria notificará a cada organismo público del estado, la confirmación de las inversiones a más tardar el día siguiente hábil después de realizada la inversión; lo anterior, constituirá el soporte de los registros contables y las conciliaciones bancarias.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>VI.</w:t>
      </w:r>
      <w:r w:rsidRPr="008A21C0">
        <w:rPr>
          <w:rFonts w:ascii="Arial" w:hAnsi="Arial" w:cs="Arial"/>
          <w:sz w:val="24"/>
          <w:szCs w:val="24"/>
        </w:rPr>
        <w:t xml:space="preserve"> Por los productos financieros que generen las inversiones en mesa de dinero, recibirán el depósito de parte de la Institución, a la cuenta bancaria que corresponda.</w:t>
      </w:r>
    </w:p>
    <w:p w:rsidR="00863835" w:rsidRPr="008A21C0" w:rsidRDefault="00863835" w:rsidP="00863835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>VII.</w:t>
      </w:r>
      <w:r w:rsidRPr="008A21C0">
        <w:rPr>
          <w:rFonts w:ascii="Arial" w:hAnsi="Arial" w:cs="Arial"/>
          <w:sz w:val="24"/>
          <w:szCs w:val="24"/>
        </w:rPr>
        <w:t xml:space="preserve"> Serán los responsables  de cualquier modificación a los saldos de inversión, una vez hechas las notificaciones a los Bancos, mediante carta de instrucción.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 xml:space="preserve">VIII. </w:t>
      </w:r>
      <w:r w:rsidRPr="008A21C0">
        <w:rPr>
          <w:rFonts w:ascii="Arial" w:hAnsi="Arial" w:cs="Arial"/>
          <w:sz w:val="24"/>
          <w:szCs w:val="24"/>
        </w:rPr>
        <w:t>Las aperturas, cancelaciones y vigencias de cuentas maestras de recursos de libre disposición y federales etiquetados, se regirán de acuerdo a las políticas establecidas para tal caso.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>Artículo 75.-</w:t>
      </w:r>
      <w:r w:rsidRPr="008A21C0">
        <w:rPr>
          <w:rFonts w:ascii="Arial" w:hAnsi="Arial" w:cs="Arial"/>
          <w:sz w:val="24"/>
          <w:szCs w:val="24"/>
        </w:rPr>
        <w:t xml:space="preserve"> Los Organismos Públicos del Estado, a través de sus titulares, para efectos de operar el Sistema de Banca Electrónica, se apegarán a lo siguiente: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2"/>
        </w:numPr>
        <w:tabs>
          <w:tab w:val="clear" w:pos="540"/>
          <w:tab w:val="left" w:pos="304"/>
        </w:tabs>
        <w:spacing w:after="0" w:line="240" w:lineRule="auto"/>
        <w:ind w:left="3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Deberán celebrar contratos con instituciones bancarias para la instalación del Sistema de banca electrónica, para efectuar sus operaciones financieras.</w:t>
      </w:r>
    </w:p>
    <w:p w:rsidR="00863835" w:rsidRPr="008A21C0" w:rsidRDefault="00863835" w:rsidP="00863835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Podrán realizar las siguientes operaciones: consultas, traspasos y pagos.</w:t>
      </w:r>
    </w:p>
    <w:p w:rsidR="00863835" w:rsidRPr="008A21C0" w:rsidRDefault="00863835" w:rsidP="00863835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Delegar a los funcionarios idóneos el manejo y uso de la banca electrónica.</w:t>
      </w:r>
    </w:p>
    <w:p w:rsidR="00863835" w:rsidRPr="008A21C0" w:rsidRDefault="00863835" w:rsidP="00863835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El Jefe de la Unidad de Apoyo Administrativo y/o Director Administrativo o equivalente, será el responsable de revisar y validar la información que contengan las operaciones, una vez que se encuentren capturadas, previo a su transmisión.</w:t>
      </w:r>
    </w:p>
    <w:p w:rsidR="00863835" w:rsidRPr="008A21C0" w:rsidRDefault="00863835" w:rsidP="00863835">
      <w:pPr>
        <w:tabs>
          <w:tab w:val="num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El Jefe de la Unidad de Apoyo Administrativo y/o Director Administrativo o su equivalente, deberá imprimir las fichas de las operaciones diarias realizadas en el Sistema de Banca Electrónica, para los registros contables correspondientes, los cuales contendrán, la cuenta bancaria de origen y la cuenta bancaria de destino, con los siguientes datos: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3"/>
        </w:numPr>
        <w:tabs>
          <w:tab w:val="clear" w:pos="1440"/>
          <w:tab w:val="num" w:pos="570"/>
        </w:tabs>
        <w:spacing w:after="0" w:line="240" w:lineRule="auto"/>
        <w:ind w:left="570" w:hanging="284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Fecha.</w:t>
      </w:r>
    </w:p>
    <w:p w:rsidR="00863835" w:rsidRPr="008A21C0" w:rsidRDefault="00863835" w:rsidP="00863835">
      <w:pPr>
        <w:numPr>
          <w:ilvl w:val="0"/>
          <w:numId w:val="3"/>
        </w:numPr>
        <w:tabs>
          <w:tab w:val="clear" w:pos="1440"/>
          <w:tab w:val="num" w:pos="570"/>
        </w:tabs>
        <w:spacing w:after="0" w:line="240" w:lineRule="auto"/>
        <w:ind w:left="570" w:hanging="284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Hora.</w:t>
      </w:r>
    </w:p>
    <w:p w:rsidR="00863835" w:rsidRPr="008A21C0" w:rsidRDefault="00863835" w:rsidP="00863835">
      <w:pPr>
        <w:numPr>
          <w:ilvl w:val="0"/>
          <w:numId w:val="3"/>
        </w:numPr>
        <w:tabs>
          <w:tab w:val="clear" w:pos="1440"/>
          <w:tab w:val="num" w:pos="570"/>
        </w:tabs>
        <w:spacing w:after="0" w:line="240" w:lineRule="auto"/>
        <w:ind w:left="570" w:hanging="284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lastRenderedPageBreak/>
        <w:t>Número de cuenta y/o CLABE.</w:t>
      </w:r>
    </w:p>
    <w:p w:rsidR="00863835" w:rsidRPr="008A21C0" w:rsidRDefault="00863835" w:rsidP="00863835">
      <w:pPr>
        <w:numPr>
          <w:ilvl w:val="0"/>
          <w:numId w:val="3"/>
        </w:numPr>
        <w:tabs>
          <w:tab w:val="clear" w:pos="1440"/>
          <w:tab w:val="num" w:pos="570"/>
        </w:tabs>
        <w:spacing w:after="0" w:line="240" w:lineRule="auto"/>
        <w:ind w:left="570" w:hanging="284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Nombre de la cuenta.</w:t>
      </w:r>
    </w:p>
    <w:p w:rsidR="00863835" w:rsidRPr="008A21C0" w:rsidRDefault="00863835" w:rsidP="00863835">
      <w:pPr>
        <w:numPr>
          <w:ilvl w:val="0"/>
          <w:numId w:val="3"/>
        </w:numPr>
        <w:tabs>
          <w:tab w:val="clear" w:pos="1440"/>
          <w:tab w:val="num" w:pos="570"/>
        </w:tabs>
        <w:spacing w:after="0" w:line="240" w:lineRule="auto"/>
        <w:ind w:left="570" w:hanging="284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Institución bancaria.</w:t>
      </w:r>
    </w:p>
    <w:p w:rsidR="00863835" w:rsidRPr="008A21C0" w:rsidRDefault="00863835" w:rsidP="00863835">
      <w:pPr>
        <w:numPr>
          <w:ilvl w:val="0"/>
          <w:numId w:val="3"/>
        </w:numPr>
        <w:tabs>
          <w:tab w:val="clear" w:pos="1440"/>
          <w:tab w:val="num" w:pos="570"/>
        </w:tabs>
        <w:spacing w:after="0" w:line="240" w:lineRule="auto"/>
        <w:ind w:left="570" w:hanging="284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Importe.</w:t>
      </w:r>
    </w:p>
    <w:p w:rsidR="00863835" w:rsidRPr="008A21C0" w:rsidRDefault="00863835" w:rsidP="00863835">
      <w:pPr>
        <w:numPr>
          <w:ilvl w:val="0"/>
          <w:numId w:val="3"/>
        </w:numPr>
        <w:tabs>
          <w:tab w:val="clear" w:pos="1440"/>
          <w:tab w:val="num" w:pos="570"/>
        </w:tabs>
        <w:spacing w:after="0" w:line="240" w:lineRule="auto"/>
        <w:ind w:left="570" w:hanging="284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Plaza.</w:t>
      </w:r>
    </w:p>
    <w:p w:rsidR="00863835" w:rsidRPr="008A21C0" w:rsidRDefault="00863835" w:rsidP="00863835">
      <w:pPr>
        <w:numPr>
          <w:ilvl w:val="0"/>
          <w:numId w:val="3"/>
        </w:numPr>
        <w:tabs>
          <w:tab w:val="clear" w:pos="1440"/>
          <w:tab w:val="num" w:pos="570"/>
        </w:tabs>
        <w:spacing w:after="0" w:line="240" w:lineRule="auto"/>
        <w:ind w:left="570" w:hanging="284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Sucursal.</w:t>
      </w:r>
    </w:p>
    <w:p w:rsidR="00863835" w:rsidRPr="008A21C0" w:rsidRDefault="00863835" w:rsidP="00863835">
      <w:pPr>
        <w:numPr>
          <w:ilvl w:val="0"/>
          <w:numId w:val="3"/>
        </w:numPr>
        <w:tabs>
          <w:tab w:val="clear" w:pos="1440"/>
          <w:tab w:val="num" w:pos="570"/>
        </w:tabs>
        <w:spacing w:after="0" w:line="240" w:lineRule="auto"/>
        <w:ind w:left="570" w:hanging="284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Número de referencia del movimiento o número de folio.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Registrar diariamente, dentro del Sistema de Contabilidad Gubernamental, los movimientos financieros de las transferencias electrónicas.</w:t>
      </w:r>
    </w:p>
    <w:p w:rsidR="00863835" w:rsidRPr="008A21C0" w:rsidRDefault="00863835" w:rsidP="00863835">
      <w:pPr>
        <w:tabs>
          <w:tab w:val="num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 xml:space="preserve">Imprimir mensualmente los estados de cuenta, a través del Sistema de Banca Electrónica, con la finalidad de agilizar la elaboración de las conciliaciones bancarias. </w:t>
      </w:r>
    </w:p>
    <w:p w:rsidR="00863835" w:rsidRPr="008A21C0" w:rsidRDefault="00863835" w:rsidP="00863835">
      <w:pPr>
        <w:tabs>
          <w:tab w:val="num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Realizar las transferencias de recursos a cuentas propias y de terceros a través del Sistema de Banca Electrónica, de las diferentes instituciones bancarias.</w:t>
      </w:r>
    </w:p>
    <w:p w:rsidR="00863835" w:rsidRPr="008A21C0" w:rsidRDefault="00863835" w:rsidP="00863835">
      <w:pPr>
        <w:tabs>
          <w:tab w:val="num" w:pos="0"/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Solicitar a la institución bancaria correspondiente, el número de rastreo del SPEI, para confirmar la recepción de los recursos al banco destino.</w:t>
      </w:r>
    </w:p>
    <w:p w:rsidR="00863835" w:rsidRPr="008A21C0" w:rsidRDefault="00863835" w:rsidP="0086383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X. Solicitar vía oficial, a las instituciones bancarias, la instalación, capacitación y cancelación del servicio del Sistema de Banca Electrónica.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 xml:space="preserve">Artículo 76.- </w:t>
      </w:r>
      <w:r w:rsidRPr="008A21C0">
        <w:rPr>
          <w:rFonts w:ascii="Arial" w:hAnsi="Arial" w:cs="Arial"/>
          <w:sz w:val="24"/>
          <w:szCs w:val="24"/>
        </w:rPr>
        <w:t>Los Organismos Públicos del Estado, para el manejo y uso del Sistema de Banca Electrónica, deberán apegarse a los manuales de usuario de la institución bancaria correspondiente.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El sistema de Banca Electrónica, ofrece los siguientes servicios: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4"/>
        </w:numPr>
        <w:tabs>
          <w:tab w:val="clear" w:pos="540"/>
          <w:tab w:val="num" w:pos="286"/>
        </w:tabs>
        <w:spacing w:after="0" w:line="240" w:lineRule="auto"/>
        <w:ind w:left="3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Consulta de Saldos: permite conocer saldos a la fecha en que se requiera, así como respaldar dicha información en medios magnéticos.</w:t>
      </w:r>
    </w:p>
    <w:p w:rsidR="00863835" w:rsidRPr="008A21C0" w:rsidRDefault="00863835" w:rsidP="00863835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4"/>
        </w:numPr>
        <w:tabs>
          <w:tab w:val="clear" w:pos="540"/>
          <w:tab w:val="num" w:pos="286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Consulta de Movimientos: permite conocer el historial de movimientos de las operaciones realizadas, de dos meses de antigüedad, así como respaldar dicha información en medios magnéticos.</w:t>
      </w:r>
    </w:p>
    <w:p w:rsidR="00863835" w:rsidRPr="008A21C0" w:rsidRDefault="00863835" w:rsidP="00863835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lastRenderedPageBreak/>
        <w:t>Impresión de Estados de cuenta: permite la impresión de estados de cuenta, así como respaldar la información, en medios magnéticos.</w:t>
      </w:r>
    </w:p>
    <w:p w:rsidR="00863835" w:rsidRPr="008A21C0" w:rsidRDefault="00863835" w:rsidP="00863835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Traspasos: Permite la transferencia de recursos a terceros de una misma Institución Bancaria. De una cuenta propia a una de terceros. El abono se aplica el mismo día de su operación.</w:t>
      </w:r>
    </w:p>
    <w:p w:rsidR="00863835" w:rsidRPr="008A21C0" w:rsidRDefault="00863835" w:rsidP="00863835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Transferencias a terceros en diferentes Instituciones Bancarias: Permite realizar depósitos a cuentas en instituciones bancarias distintas de la cuenta bancaria origen. Dependiendo del monto de la transacción, deberán sujetarse a las siguientes modalidades: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5"/>
        </w:numPr>
        <w:tabs>
          <w:tab w:val="clear" w:pos="1440"/>
          <w:tab w:val="num" w:pos="570"/>
        </w:tabs>
        <w:spacing w:after="0" w:line="240" w:lineRule="auto"/>
        <w:ind w:left="57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Sistema de Pago Electrónico Interbancario (SPEI).-  El abono se recibe el mismo día.</w:t>
      </w:r>
    </w:p>
    <w:p w:rsidR="00863835" w:rsidRPr="008A21C0" w:rsidRDefault="00863835" w:rsidP="00863835">
      <w:pPr>
        <w:tabs>
          <w:tab w:val="num" w:pos="570"/>
        </w:tabs>
        <w:spacing w:after="0" w:line="240" w:lineRule="auto"/>
        <w:ind w:left="570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numPr>
          <w:ilvl w:val="0"/>
          <w:numId w:val="5"/>
        </w:numPr>
        <w:tabs>
          <w:tab w:val="clear" w:pos="1440"/>
          <w:tab w:val="num" w:pos="570"/>
        </w:tabs>
        <w:spacing w:after="0" w:line="240" w:lineRule="auto"/>
        <w:ind w:left="570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Para los pagos que se realicen entre las mismas instituciones bancarias, la operación será de manera inmediata.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 xml:space="preserve">VI. </w:t>
      </w:r>
      <w:r w:rsidRPr="008A21C0">
        <w:rPr>
          <w:rFonts w:ascii="Arial" w:hAnsi="Arial" w:cs="Arial"/>
          <w:sz w:val="24"/>
          <w:szCs w:val="24"/>
        </w:rPr>
        <w:t>El horario para operar el SPEI, será de acuerdo a las políticas de cada Institución Bancaria.</w:t>
      </w:r>
    </w:p>
    <w:p w:rsidR="00863835" w:rsidRPr="008A21C0" w:rsidRDefault="00863835" w:rsidP="0086383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>VII.</w:t>
      </w:r>
      <w:r w:rsidRPr="008A21C0">
        <w:rPr>
          <w:rFonts w:ascii="Arial" w:hAnsi="Arial" w:cs="Arial"/>
          <w:sz w:val="24"/>
          <w:szCs w:val="24"/>
        </w:rPr>
        <w:t xml:space="preserve"> Protección de Cheques: proteger de alteraciones fraudulentas los cheques que las instituciones bancarias pueden operar en ventanilla, protegiendo la cuenta de origen, número de cheque, fecha, beneficiario e importe.</w:t>
      </w:r>
    </w:p>
    <w:p w:rsidR="00863835" w:rsidRPr="008A21C0" w:rsidRDefault="00863835" w:rsidP="00863835">
      <w:pPr>
        <w:tabs>
          <w:tab w:val="num" w:pos="0"/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>VIII.</w:t>
      </w:r>
      <w:r w:rsidRPr="008A21C0">
        <w:rPr>
          <w:rFonts w:ascii="Arial" w:hAnsi="Arial" w:cs="Arial"/>
          <w:sz w:val="24"/>
          <w:szCs w:val="24"/>
        </w:rPr>
        <w:t xml:space="preserve"> Bitácora de Operaciones: permite conocer el historial de las operaciones realizadas dentro del Sistema de Banca Electrónica; así como, la hora, fecha y nombre del usuario.</w:t>
      </w:r>
    </w:p>
    <w:p w:rsidR="00863835" w:rsidRPr="008A21C0" w:rsidRDefault="00863835" w:rsidP="00863835">
      <w:pPr>
        <w:tabs>
          <w:tab w:val="num" w:pos="0"/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68F3">
        <w:rPr>
          <w:rFonts w:ascii="Arial" w:hAnsi="Arial" w:cs="Arial"/>
          <w:b/>
          <w:sz w:val="24"/>
          <w:szCs w:val="24"/>
        </w:rPr>
        <w:t xml:space="preserve">IX. </w:t>
      </w:r>
      <w:r w:rsidRPr="008A21C0">
        <w:rPr>
          <w:rFonts w:ascii="Arial" w:hAnsi="Arial" w:cs="Arial"/>
          <w:sz w:val="24"/>
          <w:szCs w:val="24"/>
        </w:rPr>
        <w:t>Información Financiera: permite consultar el comportamiento del Mercado de Dinero, tasas de interés y de capitales, así como tipos de cambio, entre otros indicadores.</w:t>
      </w: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35" w:rsidRPr="008A21C0" w:rsidRDefault="00863835" w:rsidP="008638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21C0">
        <w:rPr>
          <w:rFonts w:ascii="Arial" w:hAnsi="Arial" w:cs="Arial"/>
          <w:sz w:val="24"/>
          <w:szCs w:val="24"/>
        </w:rPr>
        <w:t>Con fundamento en los artículos 1205 y 1298-A del Código de Comercio y el 52 de la Ley de Instituciones de Crédito, para efectos de comprobación y soportes, todos los reportes que se generan en el sistema de Banca Electrónica, tienen validez oficial y legal.</w:t>
      </w:r>
    </w:p>
    <w:p w:rsidR="00863835" w:rsidRPr="008A21C0" w:rsidRDefault="00863835" w:rsidP="00C546A2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63835" w:rsidRPr="008A21C0" w:rsidSect="00F6466C">
      <w:headerReference w:type="default" r:id="rId8"/>
      <w:footerReference w:type="default" r:id="rId9"/>
      <w:pgSz w:w="15840" w:h="12240" w:orient="landscape"/>
      <w:pgMar w:top="1469" w:right="2090" w:bottom="1183" w:left="2127" w:header="426" w:footer="458" w:gutter="0"/>
      <w:pgNumType w:start="8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D" w:rsidRDefault="004540FD">
      <w:pPr>
        <w:spacing w:after="0" w:line="240" w:lineRule="auto"/>
      </w:pPr>
      <w:r>
        <w:separator/>
      </w:r>
    </w:p>
  </w:endnote>
  <w:endnote w:type="continuationSeparator" w:id="0">
    <w:p w:rsidR="004540FD" w:rsidRDefault="0045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18" w:rsidRDefault="00863835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546A2" w:rsidRPr="00C546A2">
      <w:rPr>
        <w:rFonts w:asciiTheme="majorHAnsi" w:eastAsiaTheme="majorEastAsia" w:hAnsiTheme="majorHAnsi" w:cstheme="majorBidi"/>
        <w:noProof/>
        <w:lang w:val="es-ES"/>
      </w:rPr>
      <w:t>89</w:t>
    </w:r>
    <w:r>
      <w:rPr>
        <w:rFonts w:asciiTheme="majorHAnsi" w:eastAsiaTheme="majorEastAsia" w:hAnsiTheme="majorHAnsi" w:cstheme="majorBidi"/>
      </w:rPr>
      <w:fldChar w:fldCharType="end"/>
    </w:r>
  </w:p>
  <w:p w:rsidR="00631218" w:rsidRDefault="004540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D" w:rsidRDefault="004540FD">
      <w:pPr>
        <w:spacing w:after="0" w:line="240" w:lineRule="auto"/>
      </w:pPr>
      <w:r>
        <w:separator/>
      </w:r>
    </w:p>
  </w:footnote>
  <w:footnote w:type="continuationSeparator" w:id="0">
    <w:p w:rsidR="004540FD" w:rsidRDefault="00454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218" w:rsidRPr="003E693D" w:rsidRDefault="00863835" w:rsidP="00801C07">
    <w:pPr>
      <w:pStyle w:val="Encabezado"/>
      <w:jc w:val="center"/>
      <w:rPr>
        <w:rFonts w:ascii="Tahoma" w:hAnsi="Tahoma" w:cs="Tahoma"/>
        <w:b/>
        <w:w w:val="80"/>
      </w:rPr>
    </w:pPr>
    <w:r w:rsidRPr="003E693D">
      <w:rPr>
        <w:rFonts w:ascii="Arial" w:hAnsi="Arial" w:cs="Arial"/>
        <w:noProof/>
        <w:w w:val="80"/>
      </w:rPr>
      <w:drawing>
        <wp:anchor distT="0" distB="0" distL="114300" distR="114300" simplePos="0" relativeHeight="251660288" behindDoc="1" locked="0" layoutInCell="1" allowOverlap="1" wp14:anchorId="78EF820A" wp14:editId="175CBDA9">
          <wp:simplePos x="0" y="0"/>
          <wp:positionH relativeFrom="column">
            <wp:posOffset>122142</wp:posOffset>
          </wp:positionH>
          <wp:positionV relativeFrom="paragraph">
            <wp:posOffset>-19050</wp:posOffset>
          </wp:positionV>
          <wp:extent cx="831146" cy="400613"/>
          <wp:effectExtent l="0" t="0" r="762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146" cy="400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93D">
      <w:rPr>
        <w:rFonts w:ascii="Arial" w:hAnsi="Arial" w:cs="Arial"/>
        <w:b/>
        <w:w w:val="80"/>
      </w:rPr>
      <w:t>Normatividad Financiera para el Estado de Chiapas para el Ejercicio Fiscal 2024</w:t>
    </w:r>
  </w:p>
  <w:p w:rsidR="00631218" w:rsidRPr="002A28E5" w:rsidRDefault="00863835" w:rsidP="00801C07">
    <w:pPr>
      <w:pStyle w:val="Encabezado"/>
      <w:jc w:val="center"/>
      <w:rPr>
        <w:rFonts w:ascii="Tahoma" w:hAnsi="Tahoma" w:cs="Tahoma"/>
        <w:w w:val="80"/>
        <w:sz w:val="8"/>
        <w:szCs w:val="8"/>
      </w:rPr>
    </w:pPr>
    <w:r w:rsidRPr="002A28E5">
      <w:rPr>
        <w:rFonts w:ascii="Tahoma" w:hAnsi="Tahoma" w:cs="Tahoma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4B1F8" wp14:editId="6F8C4C0F">
              <wp:simplePos x="0" y="0"/>
              <wp:positionH relativeFrom="column">
                <wp:posOffset>1568825</wp:posOffset>
              </wp:positionH>
              <wp:positionV relativeFrom="paragraph">
                <wp:posOffset>20527</wp:posOffset>
              </wp:positionV>
              <wp:extent cx="4252335" cy="0"/>
              <wp:effectExtent l="0" t="0" r="15240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52335" cy="0"/>
                      </a:xfrm>
                      <a:prstGeom prst="line">
                        <a:avLst/>
                      </a:prstGeom>
                      <a:ln w="15875" cmpd="sng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5pt,1.6pt" to="458.4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" strokecolor="#4579b8 [3044]" strokeweight="1.25pt"/>
          </w:pict>
        </mc:Fallback>
      </mc:AlternateContent>
    </w:r>
  </w:p>
  <w:p w:rsidR="00631218" w:rsidRPr="003E693D" w:rsidRDefault="00863835" w:rsidP="00801C07">
    <w:pPr>
      <w:pStyle w:val="Encabezado"/>
      <w:jc w:val="center"/>
      <w:rPr>
        <w:rFonts w:ascii="Tahoma" w:hAnsi="Tahoma" w:cs="Tahoma"/>
        <w:w w:val="80"/>
        <w:sz w:val="18"/>
        <w:szCs w:val="18"/>
      </w:rPr>
    </w:pPr>
    <w:r w:rsidRPr="003E693D">
      <w:rPr>
        <w:rFonts w:ascii="Tahoma" w:hAnsi="Tahoma" w:cs="Tahoma"/>
        <w:w w:val="80"/>
        <w:sz w:val="18"/>
        <w:szCs w:val="18"/>
      </w:rPr>
      <w:t xml:space="preserve">Periódico Oficial No. 329 Tomo III  Publicación No.  4716-A-2024 7 de febrero de 2024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73E7"/>
    <w:multiLevelType w:val="hybridMultilevel"/>
    <w:tmpl w:val="85C8CC40"/>
    <w:lvl w:ilvl="0" w:tplc="D6CE4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12229"/>
    <w:multiLevelType w:val="hybridMultilevel"/>
    <w:tmpl w:val="89643B8C"/>
    <w:lvl w:ilvl="0" w:tplc="D6CE4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34D97"/>
    <w:multiLevelType w:val="hybridMultilevel"/>
    <w:tmpl w:val="B9464BBC"/>
    <w:lvl w:ilvl="0" w:tplc="C8ECA09C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cs="Times New Roman" w:hint="default"/>
        <w:b/>
        <w:i w:val="0"/>
        <w:color w:val="auto"/>
      </w:rPr>
    </w:lvl>
    <w:lvl w:ilvl="1" w:tplc="D6CE4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052D08"/>
    <w:multiLevelType w:val="hybridMultilevel"/>
    <w:tmpl w:val="39B2DFB6"/>
    <w:lvl w:ilvl="0" w:tplc="BF98E5C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86F5B2E"/>
    <w:multiLevelType w:val="hybridMultilevel"/>
    <w:tmpl w:val="4F6E90A6"/>
    <w:lvl w:ilvl="0" w:tplc="C8ECA09C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cs="Times New Roman" w:hint="default"/>
        <w:b/>
        <w:i w:val="0"/>
        <w:color w:val="auto"/>
      </w:rPr>
    </w:lvl>
    <w:lvl w:ilvl="1" w:tplc="D6CE4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35"/>
    <w:rsid w:val="00356D5A"/>
    <w:rsid w:val="004540FD"/>
    <w:rsid w:val="00532AD9"/>
    <w:rsid w:val="00604A87"/>
    <w:rsid w:val="00863835"/>
    <w:rsid w:val="009027D0"/>
    <w:rsid w:val="009559E5"/>
    <w:rsid w:val="009E6AB8"/>
    <w:rsid w:val="00BF5C1B"/>
    <w:rsid w:val="00C546A2"/>
    <w:rsid w:val="00E25C01"/>
    <w:rsid w:val="00F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35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863835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863835"/>
    <w:rPr>
      <w:rFonts w:ascii="Cambria" w:eastAsia="Times New Roman" w:hAnsi="Cambria" w:cs="Times New Roman"/>
      <w:b/>
      <w:bCs/>
      <w:kern w:val="28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6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835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6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835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863835"/>
    <w:pPr>
      <w:ind w:left="708"/>
    </w:pPr>
  </w:style>
  <w:style w:type="paragraph" w:customStyle="1" w:styleId="Prrafodelista2">
    <w:name w:val="Párrafo de lista2"/>
    <w:basedOn w:val="Normal"/>
    <w:uiPriority w:val="99"/>
    <w:rsid w:val="00863835"/>
    <w:pPr>
      <w:ind w:left="720"/>
      <w:contextualSpacing/>
    </w:pPr>
  </w:style>
  <w:style w:type="paragraph" w:customStyle="1" w:styleId="Default">
    <w:name w:val="Default"/>
    <w:uiPriority w:val="99"/>
    <w:rsid w:val="00863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rsid w:val="0086383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835"/>
    <w:rPr>
      <w:rFonts w:ascii="Tahoma" w:eastAsia="Times New Roman" w:hAnsi="Tahoma" w:cs="Tahoma"/>
      <w:sz w:val="16"/>
      <w:szCs w:val="16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38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3835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3835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3835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863835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table" w:styleId="Tablaconcuadrcula">
    <w:name w:val="Table Grid"/>
    <w:basedOn w:val="Tablanormal"/>
    <w:uiPriority w:val="59"/>
    <w:rsid w:val="0086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835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863835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863835"/>
    <w:rPr>
      <w:rFonts w:ascii="Cambria" w:eastAsia="Times New Roman" w:hAnsi="Cambria" w:cs="Times New Roman"/>
      <w:b/>
      <w:bCs/>
      <w:kern w:val="28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6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3835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8638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835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863835"/>
    <w:pPr>
      <w:ind w:left="708"/>
    </w:pPr>
  </w:style>
  <w:style w:type="paragraph" w:customStyle="1" w:styleId="Prrafodelista2">
    <w:name w:val="Párrafo de lista2"/>
    <w:basedOn w:val="Normal"/>
    <w:uiPriority w:val="99"/>
    <w:rsid w:val="00863835"/>
    <w:pPr>
      <w:ind w:left="720"/>
      <w:contextualSpacing/>
    </w:pPr>
  </w:style>
  <w:style w:type="paragraph" w:customStyle="1" w:styleId="Default">
    <w:name w:val="Default"/>
    <w:uiPriority w:val="99"/>
    <w:rsid w:val="00863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rsid w:val="00863835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835"/>
    <w:rPr>
      <w:rFonts w:ascii="Tahoma" w:eastAsia="Times New Roman" w:hAnsi="Tahoma" w:cs="Tahoma"/>
      <w:sz w:val="16"/>
      <w:szCs w:val="16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38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3835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3835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3835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863835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table" w:styleId="Tablaconcuadrcula">
    <w:name w:val="Table Grid"/>
    <w:basedOn w:val="Tablanormal"/>
    <w:uiPriority w:val="59"/>
    <w:rsid w:val="0086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1074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Guadalupe López Morales</dc:creator>
  <cp:lastModifiedBy>Verónica Guadalupe López Morales</cp:lastModifiedBy>
  <cp:revision>5</cp:revision>
  <dcterms:created xsi:type="dcterms:W3CDTF">2024-02-21T17:26:00Z</dcterms:created>
  <dcterms:modified xsi:type="dcterms:W3CDTF">2024-02-21T18:56:00Z</dcterms:modified>
</cp:coreProperties>
</file>