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C3" w:rsidRPr="008A21C0" w:rsidRDefault="00D35EC3" w:rsidP="00D35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  <w:sz w:val="24"/>
          <w:szCs w:val="24"/>
        </w:rPr>
      </w:pPr>
      <w:r w:rsidRPr="008A21C0">
        <w:rPr>
          <w:rFonts w:ascii="Arial" w:hAnsi="Arial" w:cs="Arial"/>
          <w:kern w:val="28"/>
          <w:sz w:val="24"/>
          <w:szCs w:val="24"/>
        </w:rPr>
        <w:t>Al margen un sello con el Escudo Nacional que dice: Estados Unidos Mexicanos.- Poder Ejecutivo del Estado de Chiapas.</w:t>
      </w:r>
    </w:p>
    <w:p w:rsidR="00D35EC3" w:rsidRDefault="00D35EC3" w:rsidP="00D35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  <w:sz w:val="24"/>
          <w:szCs w:val="24"/>
        </w:rPr>
      </w:pPr>
    </w:p>
    <w:p w:rsidR="00D35EC3" w:rsidRPr="008A21C0" w:rsidRDefault="00D35EC3" w:rsidP="00D35E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  <w:sz w:val="24"/>
          <w:szCs w:val="24"/>
        </w:rPr>
      </w:pPr>
      <w:r w:rsidRPr="00A75574">
        <w:rPr>
          <w:rFonts w:ascii="Arial" w:hAnsi="Arial" w:cs="Arial"/>
          <w:b/>
          <w:kern w:val="28"/>
          <w:sz w:val="24"/>
          <w:szCs w:val="24"/>
        </w:rPr>
        <w:t xml:space="preserve">Javier Jiménez </w:t>
      </w:r>
      <w:proofErr w:type="spellStart"/>
      <w:r w:rsidRPr="00A75574">
        <w:rPr>
          <w:rFonts w:ascii="Arial" w:hAnsi="Arial" w:cs="Arial"/>
          <w:b/>
          <w:kern w:val="28"/>
          <w:sz w:val="24"/>
          <w:szCs w:val="24"/>
        </w:rPr>
        <w:t>Jiménez</w:t>
      </w:r>
      <w:proofErr w:type="spellEnd"/>
      <w:r w:rsidRPr="00A75574">
        <w:rPr>
          <w:rFonts w:ascii="Arial" w:hAnsi="Arial" w:cs="Arial"/>
          <w:b/>
          <w:kern w:val="28"/>
          <w:sz w:val="24"/>
          <w:szCs w:val="24"/>
        </w:rPr>
        <w:t>,</w:t>
      </w:r>
      <w:r w:rsidRPr="008A21C0">
        <w:rPr>
          <w:rFonts w:ascii="Arial" w:hAnsi="Arial" w:cs="Arial"/>
          <w:kern w:val="28"/>
          <w:sz w:val="24"/>
          <w:szCs w:val="24"/>
        </w:rPr>
        <w:t xml:space="preserve"> </w:t>
      </w:r>
      <w:r w:rsidRPr="00BE0E94">
        <w:rPr>
          <w:rFonts w:ascii="Arial" w:hAnsi="Arial" w:cs="Arial"/>
          <w:b/>
          <w:kern w:val="28"/>
          <w:sz w:val="24"/>
          <w:szCs w:val="24"/>
        </w:rPr>
        <w:t>Secretario</w:t>
      </w:r>
      <w:r w:rsidRPr="008A21C0">
        <w:rPr>
          <w:rFonts w:ascii="Arial" w:hAnsi="Arial" w:cs="Arial"/>
          <w:kern w:val="28"/>
          <w:sz w:val="24"/>
          <w:szCs w:val="24"/>
        </w:rPr>
        <w:t xml:space="preserve"> de Hacienda, en ejercicio de las facultades que me confieren los artículos 60 de la Constitución Política del Estado Libre y soberano de Chiapas; 15, segundo párrafo, 28, fracción II y 30 de la Ley Orgánica de la Administración Pública del Estado de Chiapas; </w:t>
      </w:r>
      <w:r w:rsidRPr="008A21C0">
        <w:rPr>
          <w:rFonts w:ascii="Arial" w:hAnsi="Arial" w:cs="Arial"/>
          <w:sz w:val="24"/>
          <w:szCs w:val="24"/>
        </w:rPr>
        <w:t>360 del Código de la Hacienda Pública para el Estado de Chiapas</w:t>
      </w:r>
      <w:r w:rsidRPr="008A21C0">
        <w:rPr>
          <w:rFonts w:ascii="Arial" w:hAnsi="Arial" w:cs="Arial"/>
          <w:kern w:val="28"/>
          <w:sz w:val="24"/>
          <w:szCs w:val="24"/>
        </w:rPr>
        <w:t xml:space="preserve"> y 13 del Reglamento Interior de la Secretaría de Hacienda; y</w:t>
      </w: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D35EC3" w:rsidRPr="00A75574" w:rsidRDefault="00D35EC3" w:rsidP="00D35EC3">
      <w:pPr>
        <w:pStyle w:val="Ttulo"/>
        <w:outlineLvl w:val="0"/>
        <w:rPr>
          <w:rFonts w:ascii="Arial" w:hAnsi="Arial" w:cs="Arial"/>
          <w:sz w:val="24"/>
          <w:szCs w:val="24"/>
          <w:lang w:val="pt-BR"/>
        </w:rPr>
      </w:pPr>
      <w:r w:rsidRPr="00A75574">
        <w:rPr>
          <w:rFonts w:ascii="Arial" w:hAnsi="Arial" w:cs="Arial"/>
          <w:sz w:val="24"/>
          <w:szCs w:val="24"/>
          <w:lang w:val="pt-BR"/>
        </w:rPr>
        <w:t>Considerando</w:t>
      </w: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sz w:val="24"/>
          <w:szCs w:val="24"/>
          <w:lang w:val="pt-BR"/>
        </w:rPr>
      </w:pP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21C0">
        <w:rPr>
          <w:rFonts w:ascii="Arial" w:hAnsi="Arial" w:cs="Arial"/>
          <w:b w:val="0"/>
          <w:bCs w:val="0"/>
          <w:sz w:val="24"/>
          <w:szCs w:val="24"/>
        </w:rPr>
        <w:t>De acuerdo a lo establecido en el artículo 30 fracción III y IV de la Ley Orgánica de la Administración Pública del Estado de Chiapas y el artículo 360 del Código de la Hacienda Pública para el Estado de Chiapas, corresponde a la Secretaría de Hacienda establecer las reglas y normas para el manejo financiero de los fondos de la Tesorería Única del Estado.</w:t>
      </w: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21C0">
        <w:rPr>
          <w:rFonts w:ascii="Arial" w:hAnsi="Arial" w:cs="Arial"/>
          <w:b w:val="0"/>
          <w:bCs w:val="0"/>
          <w:sz w:val="24"/>
          <w:szCs w:val="24"/>
        </w:rPr>
        <w:t>La presente normativa es de orden público y tiene como objeto establecer los criterios generales de responsabilidad financ</w:t>
      </w:r>
      <w:bookmarkStart w:id="0" w:name="_GoBack"/>
      <w:bookmarkEnd w:id="0"/>
      <w:r w:rsidRPr="008A21C0">
        <w:rPr>
          <w:rFonts w:ascii="Arial" w:hAnsi="Arial" w:cs="Arial"/>
          <w:b w:val="0"/>
          <w:bCs w:val="0"/>
          <w:sz w:val="24"/>
          <w:szCs w:val="24"/>
        </w:rPr>
        <w:t>iera que regirán a los Organismos Públicos del Estado para un manejo sostenible de sus finanzas públicas de los fondos de recursos de libre disposición y federal etiquetado, procurando las mejores condiciones en beneficio del Gobierno del Estado de Chiapas.</w:t>
      </w: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  <w:r w:rsidRPr="008A21C0">
        <w:rPr>
          <w:rFonts w:ascii="Arial" w:hAnsi="Arial" w:cs="Arial"/>
          <w:b w:val="0"/>
          <w:bCs w:val="0"/>
          <w:sz w:val="24"/>
          <w:szCs w:val="24"/>
        </w:rPr>
        <w:t>A través de este ordenamiento se pretende dar cumplimiento a los principios de legalidad, honestidad, eficacia, eficiencia, economía, racionalidad, austeridad, transparencia, control y rendición de cuentas solicitados por los entes fiscalizadores estatales y federales, garantizando así la transparencia y confianza en las finanzas públicas.</w:t>
      </w: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sz w:val="24"/>
          <w:szCs w:val="24"/>
        </w:rPr>
      </w:pPr>
    </w:p>
    <w:p w:rsidR="00D35EC3" w:rsidRPr="008A21C0" w:rsidRDefault="00D35EC3" w:rsidP="00D35EC3">
      <w:pPr>
        <w:pStyle w:val="Ttul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74">
        <w:rPr>
          <w:rFonts w:ascii="Arial" w:hAnsi="Arial" w:cs="Arial"/>
          <w:b w:val="0"/>
          <w:bCs w:val="0"/>
          <w:sz w:val="24"/>
          <w:szCs w:val="24"/>
        </w:rPr>
        <w:t>Por los fundamentos y consideraciones anteriores, tengo a bien emitir el siguiente Acuerdo por el que se expide la:</w:t>
      </w:r>
    </w:p>
    <w:p w:rsidR="00D35EC3" w:rsidRDefault="00D35EC3" w:rsidP="00D35EC3">
      <w:pPr>
        <w:pStyle w:val="Ttulo"/>
        <w:rPr>
          <w:rFonts w:ascii="Arial" w:hAnsi="Arial" w:cs="Arial"/>
          <w:b w:val="0"/>
          <w:bCs w:val="0"/>
          <w:sz w:val="24"/>
          <w:szCs w:val="24"/>
        </w:rPr>
      </w:pPr>
    </w:p>
    <w:p w:rsidR="00D35EC3" w:rsidRPr="00A75574" w:rsidRDefault="00D35EC3" w:rsidP="00D35EC3">
      <w:pPr>
        <w:pStyle w:val="Ttulo"/>
        <w:rPr>
          <w:rFonts w:ascii="Arial" w:hAnsi="Arial" w:cs="Arial"/>
          <w:bCs w:val="0"/>
          <w:sz w:val="24"/>
          <w:szCs w:val="24"/>
        </w:rPr>
      </w:pPr>
      <w:r w:rsidRPr="00A75574">
        <w:rPr>
          <w:rFonts w:ascii="Arial" w:hAnsi="Arial" w:cs="Arial"/>
          <w:bCs w:val="0"/>
          <w:sz w:val="24"/>
          <w:szCs w:val="24"/>
        </w:rPr>
        <w:t>Normatividad Financiera para el Estado de Chiapas para el Ejercicio Fiscal 2024</w:t>
      </w:r>
    </w:p>
    <w:p w:rsidR="00D35EC3" w:rsidRDefault="00D35EC3" w:rsidP="00D35EC3"/>
    <w:p w:rsidR="00FC6B80" w:rsidRDefault="00D35EC3"/>
    <w:sectPr w:rsidR="00FC6B80" w:rsidSect="003E693D">
      <w:headerReference w:type="default" r:id="rId6"/>
      <w:footerReference w:type="default" r:id="rId7"/>
      <w:pgSz w:w="15840" w:h="12240" w:orient="landscape"/>
      <w:pgMar w:top="1469" w:right="2090" w:bottom="1183" w:left="2127" w:header="426" w:footer="4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Default="00D35EC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D35EC3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31218" w:rsidRDefault="00D35EC3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Pr="003E693D" w:rsidRDefault="00D35EC3" w:rsidP="00801C07">
    <w:pPr>
      <w:pStyle w:val="Encabezado"/>
      <w:jc w:val="center"/>
      <w:rPr>
        <w:rFonts w:ascii="Tahoma" w:hAnsi="Tahoma" w:cs="Tahoma"/>
        <w:b/>
        <w:w w:val="80"/>
      </w:rPr>
    </w:pPr>
    <w:r w:rsidRPr="003E693D">
      <w:rPr>
        <w:rFonts w:ascii="Arial" w:hAnsi="Arial" w:cs="Arial"/>
        <w:noProof/>
        <w:w w:val="80"/>
      </w:rPr>
      <w:drawing>
        <wp:anchor distT="0" distB="0" distL="114300" distR="114300" simplePos="0" relativeHeight="251660288" behindDoc="1" locked="0" layoutInCell="1" allowOverlap="1" wp14:anchorId="0666070B" wp14:editId="1328E766">
          <wp:simplePos x="0" y="0"/>
          <wp:positionH relativeFrom="column">
            <wp:posOffset>122142</wp:posOffset>
          </wp:positionH>
          <wp:positionV relativeFrom="paragraph">
            <wp:posOffset>-19050</wp:posOffset>
          </wp:positionV>
          <wp:extent cx="831146" cy="400613"/>
          <wp:effectExtent l="0" t="0" r="762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46" cy="400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93D">
      <w:rPr>
        <w:rFonts w:ascii="Arial" w:hAnsi="Arial" w:cs="Arial"/>
        <w:b/>
        <w:w w:val="80"/>
      </w:rPr>
      <w:t>Normatividad Financiera para el Estado de Chiapas para el Ejercicio Fiscal 2024</w:t>
    </w:r>
  </w:p>
  <w:p w:rsidR="00631218" w:rsidRPr="002A28E5" w:rsidRDefault="00D35EC3" w:rsidP="00801C07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E296" wp14:editId="319E669D">
              <wp:simplePos x="0" y="0"/>
              <wp:positionH relativeFrom="column">
                <wp:posOffset>1568825</wp:posOffset>
              </wp:positionH>
              <wp:positionV relativeFrom="paragraph">
                <wp:posOffset>20527</wp:posOffset>
              </wp:positionV>
              <wp:extent cx="4252335" cy="0"/>
              <wp:effectExtent l="0" t="0" r="1524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2335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.6pt" to="458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" strokecolor="#4579b8 [3044]" strokeweight="1.25pt"/>
          </w:pict>
        </mc:Fallback>
      </mc:AlternateContent>
    </w:r>
  </w:p>
  <w:p w:rsidR="00631218" w:rsidRPr="003E693D" w:rsidRDefault="00D35EC3" w:rsidP="00801C07">
    <w:pPr>
      <w:pStyle w:val="Encabezado"/>
      <w:jc w:val="center"/>
      <w:rPr>
        <w:rFonts w:ascii="Tahoma" w:hAnsi="Tahoma" w:cs="Tahoma"/>
        <w:w w:val="80"/>
        <w:sz w:val="18"/>
        <w:szCs w:val="18"/>
      </w:rPr>
    </w:pPr>
    <w:r w:rsidRPr="003E693D">
      <w:rPr>
        <w:rFonts w:ascii="Tahoma" w:hAnsi="Tahoma" w:cs="Tahoma"/>
        <w:w w:val="80"/>
        <w:sz w:val="18"/>
        <w:szCs w:val="18"/>
      </w:rPr>
      <w:t>Periódico Oficial No. 329 Tomo III  Publicación No.  4716-A-2024 7 de febrero de 2024</w:t>
    </w:r>
    <w:r w:rsidRPr="003E693D">
      <w:rPr>
        <w:rFonts w:ascii="Tahoma" w:hAnsi="Tahoma" w:cs="Tahoma"/>
        <w:w w:val="80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C3"/>
    <w:rsid w:val="00356D5A"/>
    <w:rsid w:val="009027D0"/>
    <w:rsid w:val="009559E5"/>
    <w:rsid w:val="009E6AB8"/>
    <w:rsid w:val="00D35EC3"/>
    <w:rsid w:val="00E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C3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D35EC3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D35EC3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35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EC3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35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EC3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D35EC3"/>
    <w:pPr>
      <w:ind w:left="708"/>
    </w:pPr>
  </w:style>
  <w:style w:type="paragraph" w:customStyle="1" w:styleId="Prrafodelista2">
    <w:name w:val="Párrafo de lista2"/>
    <w:basedOn w:val="Normal"/>
    <w:uiPriority w:val="99"/>
    <w:rsid w:val="00D35EC3"/>
    <w:pPr>
      <w:ind w:left="720"/>
      <w:contextualSpacing/>
    </w:pPr>
  </w:style>
  <w:style w:type="paragraph" w:customStyle="1" w:styleId="Default">
    <w:name w:val="Default"/>
    <w:uiPriority w:val="99"/>
    <w:rsid w:val="00D35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D35E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EC3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E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EC3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EC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EC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D35EC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D3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C3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D35EC3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D35EC3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35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EC3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35E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EC3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D35EC3"/>
    <w:pPr>
      <w:ind w:left="708"/>
    </w:pPr>
  </w:style>
  <w:style w:type="paragraph" w:customStyle="1" w:styleId="Prrafodelista2">
    <w:name w:val="Párrafo de lista2"/>
    <w:basedOn w:val="Normal"/>
    <w:uiPriority w:val="99"/>
    <w:rsid w:val="00D35EC3"/>
    <w:pPr>
      <w:ind w:left="720"/>
      <w:contextualSpacing/>
    </w:pPr>
  </w:style>
  <w:style w:type="paragraph" w:customStyle="1" w:styleId="Default">
    <w:name w:val="Default"/>
    <w:uiPriority w:val="99"/>
    <w:rsid w:val="00D35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D35EC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EC3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E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EC3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EC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EC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D35EC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D3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1</cp:revision>
  <dcterms:created xsi:type="dcterms:W3CDTF">2024-02-21T17:03:00Z</dcterms:created>
  <dcterms:modified xsi:type="dcterms:W3CDTF">2024-02-21T17:06:00Z</dcterms:modified>
</cp:coreProperties>
</file>