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AF" w:rsidRPr="00A75574" w:rsidRDefault="00372DAF" w:rsidP="00372DAF">
      <w:pPr>
        <w:pStyle w:val="Ttulo"/>
        <w:rPr>
          <w:rFonts w:ascii="Arial" w:hAnsi="Arial" w:cs="Arial"/>
          <w:bCs w:val="0"/>
          <w:sz w:val="24"/>
          <w:szCs w:val="24"/>
        </w:rPr>
      </w:pPr>
      <w:r w:rsidRPr="00A75574">
        <w:rPr>
          <w:rFonts w:ascii="Arial" w:hAnsi="Arial" w:cs="Arial"/>
          <w:bCs w:val="0"/>
          <w:sz w:val="24"/>
          <w:szCs w:val="24"/>
        </w:rPr>
        <w:t>Capítulo Único</w:t>
      </w:r>
    </w:p>
    <w:p w:rsidR="00372DAF" w:rsidRPr="00A75574" w:rsidRDefault="00372DAF" w:rsidP="00372DAF">
      <w:pPr>
        <w:pStyle w:val="Ttulo"/>
        <w:rPr>
          <w:rFonts w:ascii="Arial" w:hAnsi="Arial" w:cs="Arial"/>
          <w:bCs w:val="0"/>
          <w:sz w:val="24"/>
          <w:szCs w:val="24"/>
        </w:rPr>
      </w:pPr>
      <w:r w:rsidRPr="00A75574">
        <w:rPr>
          <w:rFonts w:ascii="Arial" w:hAnsi="Arial" w:cs="Arial"/>
          <w:bCs w:val="0"/>
          <w:sz w:val="24"/>
          <w:szCs w:val="24"/>
        </w:rPr>
        <w:t>Disposiciones Generales</w:t>
      </w:r>
    </w:p>
    <w:p w:rsidR="00372DAF" w:rsidRPr="00A75574" w:rsidRDefault="00372DAF" w:rsidP="00372DAF">
      <w:pPr>
        <w:pStyle w:val="Ttulo"/>
        <w:jc w:val="both"/>
        <w:rPr>
          <w:rFonts w:ascii="Arial" w:hAnsi="Arial" w:cs="Arial"/>
          <w:bCs w:val="0"/>
          <w:sz w:val="24"/>
          <w:szCs w:val="24"/>
        </w:rPr>
      </w:pPr>
    </w:p>
    <w:p w:rsidR="00372DAF" w:rsidRPr="008A21C0" w:rsidRDefault="00372DAF" w:rsidP="00372DAF">
      <w:pPr>
        <w:pStyle w:val="Ttul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74">
        <w:rPr>
          <w:rFonts w:ascii="Arial" w:hAnsi="Arial" w:cs="Arial"/>
          <w:bCs w:val="0"/>
          <w:sz w:val="24"/>
          <w:szCs w:val="24"/>
        </w:rPr>
        <w:t>Artículo 1.-</w:t>
      </w:r>
      <w:r w:rsidRPr="008A21C0">
        <w:rPr>
          <w:rFonts w:ascii="Arial" w:hAnsi="Arial" w:cs="Arial"/>
          <w:b w:val="0"/>
          <w:bCs w:val="0"/>
          <w:sz w:val="24"/>
          <w:szCs w:val="24"/>
        </w:rPr>
        <w:t xml:space="preserve"> La presente Normatividad tiene por objeto establecer los principios, bases generales y procedimientos para el manejo eficiente de los fondos de recursos de libre disposición y federal etiquetado, siendo de carácter obligatorio y de observancia general para su aplicación en los Organismos Públicos del Estado de Chiapas. </w:t>
      </w:r>
    </w:p>
    <w:p w:rsidR="00372DAF" w:rsidRPr="008A21C0" w:rsidRDefault="00372DAF" w:rsidP="00372DAF">
      <w:pPr>
        <w:pStyle w:val="Ttul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372DAF" w:rsidRPr="008A21C0" w:rsidRDefault="00372DAF" w:rsidP="00372DAF">
      <w:pPr>
        <w:pStyle w:val="Ttul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74">
        <w:rPr>
          <w:rFonts w:ascii="Arial" w:hAnsi="Arial" w:cs="Arial"/>
          <w:bCs w:val="0"/>
          <w:sz w:val="24"/>
          <w:szCs w:val="24"/>
        </w:rPr>
        <w:t xml:space="preserve">Artículo 2.- </w:t>
      </w:r>
      <w:r w:rsidRPr="008A21C0">
        <w:rPr>
          <w:rFonts w:ascii="Arial" w:hAnsi="Arial" w:cs="Arial"/>
          <w:b w:val="0"/>
          <w:bCs w:val="0"/>
          <w:sz w:val="24"/>
          <w:szCs w:val="24"/>
        </w:rPr>
        <w:t>Para los efectos de la presente Normatividad se entenderá por:</w:t>
      </w:r>
    </w:p>
    <w:p w:rsidR="00372DAF" w:rsidRPr="008A21C0" w:rsidRDefault="00372DAF" w:rsidP="00372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2DAF" w:rsidRPr="008A21C0" w:rsidRDefault="00372DAF" w:rsidP="00372DAF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A75574">
        <w:rPr>
          <w:rFonts w:ascii="Arial" w:hAnsi="Arial" w:cs="Arial"/>
          <w:b/>
          <w:sz w:val="24"/>
          <w:szCs w:val="24"/>
        </w:rPr>
        <w:t xml:space="preserve">I. Cadenas Productivas: </w:t>
      </w:r>
      <w:r w:rsidRPr="008A21C0">
        <w:rPr>
          <w:rFonts w:ascii="Arial" w:eastAsiaTheme="minorEastAsia" w:hAnsi="Arial" w:cs="Arial"/>
          <w:sz w:val="24"/>
          <w:szCs w:val="24"/>
        </w:rPr>
        <w:t>A los productos y servicios a través del sistema en Internet desarrollado y administrado por Nacional Financiera, S.N.C., Institución de Banca de Desarrollo para, entre otros aspectos, registrar las cuentas por pagar de los Organismos de la Administración Pública Centralizada y Paraestatal del Gobierno de Chiapas, consultar información, intercambiar datos, enviar mensajes de datos y realizar operaciones financieras.</w:t>
      </w:r>
    </w:p>
    <w:p w:rsidR="00372DAF" w:rsidRPr="008A21C0" w:rsidRDefault="00372DAF" w:rsidP="00372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2DAF" w:rsidRPr="008A21C0" w:rsidRDefault="00372DAF" w:rsidP="00372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5574">
        <w:rPr>
          <w:rFonts w:ascii="Arial" w:hAnsi="Arial" w:cs="Arial"/>
          <w:b/>
          <w:sz w:val="24"/>
          <w:szCs w:val="24"/>
        </w:rPr>
        <w:t xml:space="preserve">II. CFDI: </w:t>
      </w:r>
      <w:r w:rsidRPr="008A21C0">
        <w:rPr>
          <w:rFonts w:ascii="Arial" w:hAnsi="Arial" w:cs="Arial"/>
          <w:sz w:val="24"/>
          <w:szCs w:val="24"/>
        </w:rPr>
        <w:t>Al Comprobante Fiscal Digital por Internet o Factura Electrónica.</w:t>
      </w:r>
    </w:p>
    <w:p w:rsidR="00372DAF" w:rsidRPr="008A21C0" w:rsidRDefault="00372DAF" w:rsidP="00372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2DAF" w:rsidRPr="008A21C0" w:rsidRDefault="00372DAF" w:rsidP="00372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5574">
        <w:rPr>
          <w:rFonts w:ascii="Arial" w:hAnsi="Arial" w:cs="Arial"/>
          <w:b/>
          <w:sz w:val="24"/>
          <w:szCs w:val="24"/>
        </w:rPr>
        <w:t>III. CMIC.</w:t>
      </w:r>
      <w:r w:rsidRPr="008A21C0">
        <w:rPr>
          <w:rFonts w:ascii="Arial" w:hAnsi="Arial" w:cs="Arial"/>
          <w:sz w:val="24"/>
          <w:szCs w:val="24"/>
        </w:rPr>
        <w:t xml:space="preserve"> Cámara Mexicana de la Industria de la Construcción.</w:t>
      </w:r>
    </w:p>
    <w:p w:rsidR="00372DAF" w:rsidRPr="008A21C0" w:rsidRDefault="00372DAF" w:rsidP="00372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2DAF" w:rsidRPr="008A21C0" w:rsidRDefault="00372DAF" w:rsidP="00372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5574">
        <w:rPr>
          <w:rFonts w:ascii="Arial" w:hAnsi="Arial" w:cs="Arial"/>
          <w:b/>
          <w:sz w:val="24"/>
          <w:szCs w:val="24"/>
        </w:rPr>
        <w:t>IV. CONUEE.</w:t>
      </w:r>
      <w:r w:rsidRPr="008A21C0">
        <w:rPr>
          <w:rFonts w:ascii="Arial" w:hAnsi="Arial" w:cs="Arial"/>
          <w:sz w:val="24"/>
          <w:szCs w:val="24"/>
        </w:rPr>
        <w:t xml:space="preserve"> Comisión nacional para el uso eficiente de la energía.</w:t>
      </w:r>
    </w:p>
    <w:p w:rsidR="00372DAF" w:rsidRPr="008A21C0" w:rsidRDefault="00372DAF" w:rsidP="00372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2DAF" w:rsidRPr="008A21C0" w:rsidRDefault="00372DAF" w:rsidP="00372DAF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A75574">
        <w:rPr>
          <w:rFonts w:ascii="Arial" w:hAnsi="Arial" w:cs="Arial"/>
          <w:b/>
          <w:sz w:val="24"/>
          <w:szCs w:val="24"/>
        </w:rPr>
        <w:t>V. Convenio Cadenas:</w:t>
      </w:r>
      <w:r w:rsidRPr="008A21C0">
        <w:rPr>
          <w:rFonts w:ascii="Arial" w:hAnsi="Arial" w:cs="Arial"/>
          <w:sz w:val="24"/>
          <w:szCs w:val="24"/>
        </w:rPr>
        <w:t xml:space="preserve"> </w:t>
      </w:r>
      <w:r w:rsidRPr="008A21C0">
        <w:rPr>
          <w:rFonts w:ascii="Arial" w:eastAsiaTheme="minorEastAsia" w:hAnsi="Arial" w:cs="Arial"/>
          <w:sz w:val="24"/>
          <w:szCs w:val="24"/>
        </w:rPr>
        <w:t>Al instrumento jurídico a celebrarse por los Organismos de la Administración Pública Centralizada y Paraestatal del Gobierno de Chiapas, con Nacional Financiera, S.N.C., Institución de Banca de Desarrollo para su incorporación y operación en Cadenas Productivas.</w:t>
      </w:r>
    </w:p>
    <w:p w:rsidR="00372DAF" w:rsidRPr="008A21C0" w:rsidRDefault="00372DAF" w:rsidP="00372DAF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372DAF" w:rsidRPr="008A21C0" w:rsidRDefault="00372DAF" w:rsidP="00372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5574">
        <w:rPr>
          <w:rFonts w:ascii="Arial" w:hAnsi="Arial" w:cs="Arial"/>
          <w:b/>
          <w:sz w:val="24"/>
          <w:szCs w:val="24"/>
        </w:rPr>
        <w:t>VI. Cuenta Ejecutora:</w:t>
      </w:r>
      <w:r w:rsidRPr="008A21C0">
        <w:rPr>
          <w:rFonts w:ascii="Arial" w:hAnsi="Arial" w:cs="Arial"/>
          <w:sz w:val="24"/>
          <w:szCs w:val="24"/>
        </w:rPr>
        <w:t xml:space="preserve"> A la cuenta bancaria donde el organismo público recibirá el recurso federal etiquetado para su ejecución.</w:t>
      </w:r>
    </w:p>
    <w:p w:rsidR="00372DAF" w:rsidRPr="008A21C0" w:rsidRDefault="00372DAF" w:rsidP="00372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2DAF" w:rsidRPr="008A21C0" w:rsidRDefault="00372DAF" w:rsidP="00372DAF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A75574">
        <w:rPr>
          <w:rFonts w:ascii="Arial" w:hAnsi="Arial" w:cs="Arial"/>
          <w:b/>
          <w:sz w:val="24"/>
          <w:szCs w:val="24"/>
        </w:rPr>
        <w:t>VII. Cuentas por Pagar:</w:t>
      </w:r>
      <w:r w:rsidRPr="008A21C0">
        <w:rPr>
          <w:rFonts w:ascii="Arial" w:hAnsi="Arial" w:cs="Arial"/>
          <w:sz w:val="24"/>
          <w:szCs w:val="24"/>
        </w:rPr>
        <w:t xml:space="preserve"> A los derechos de cobro a favor de los proveedores o contratistas  </w:t>
      </w:r>
      <w:r w:rsidRPr="008A21C0">
        <w:rPr>
          <w:rFonts w:ascii="Arial" w:eastAsiaTheme="minorEastAsia" w:hAnsi="Arial" w:cs="Arial"/>
          <w:sz w:val="24"/>
          <w:szCs w:val="24"/>
        </w:rPr>
        <w:t>de los Organismos de la Administración Pública Centralizada y Paraestatal del Gobierno de Chiapas.</w:t>
      </w:r>
    </w:p>
    <w:p w:rsidR="00372DAF" w:rsidRPr="008A21C0" w:rsidRDefault="00372DAF" w:rsidP="00372DAF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372DAF" w:rsidRPr="008A21C0" w:rsidRDefault="00372DAF" w:rsidP="00372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5574">
        <w:rPr>
          <w:rFonts w:ascii="Arial" w:hAnsi="Arial" w:cs="Arial"/>
          <w:b/>
          <w:sz w:val="24"/>
          <w:szCs w:val="24"/>
        </w:rPr>
        <w:t xml:space="preserve">VIII. Cuenta Receptora: </w:t>
      </w:r>
      <w:r w:rsidRPr="008A21C0">
        <w:rPr>
          <w:rFonts w:ascii="Arial" w:hAnsi="Arial" w:cs="Arial"/>
          <w:sz w:val="24"/>
          <w:szCs w:val="24"/>
        </w:rPr>
        <w:t xml:space="preserve">  A la cuenta bancaria donde la Tesorería Única recibirá los recursos federales etiquetados radicados por la Tesorería de la Federación.</w:t>
      </w:r>
    </w:p>
    <w:p w:rsidR="00372DAF" w:rsidRPr="008A21C0" w:rsidRDefault="00372DAF" w:rsidP="00372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2DAF" w:rsidRPr="008A21C0" w:rsidRDefault="00372DAF" w:rsidP="00372DAF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A75574">
        <w:rPr>
          <w:rFonts w:ascii="Arial" w:hAnsi="Arial" w:cs="Arial"/>
          <w:b/>
          <w:sz w:val="24"/>
          <w:szCs w:val="24"/>
        </w:rPr>
        <w:t xml:space="preserve">IX. Descuento Financiero Electrónico: </w:t>
      </w:r>
      <w:r w:rsidRPr="008A21C0">
        <w:rPr>
          <w:rFonts w:ascii="Arial" w:eastAsiaTheme="minorEastAsia" w:hAnsi="Arial" w:cs="Arial"/>
          <w:sz w:val="24"/>
          <w:szCs w:val="24"/>
        </w:rPr>
        <w:t>Al acto mediante el cual un intermediario financiero adquiere la propiedad de las Cuentas por Pagar en Cadenas Productivas.</w:t>
      </w:r>
    </w:p>
    <w:p w:rsidR="00372DAF" w:rsidRPr="008A21C0" w:rsidRDefault="00372DAF" w:rsidP="00372DAF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372DAF" w:rsidRPr="008A21C0" w:rsidRDefault="00372DAF" w:rsidP="00372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5574">
        <w:rPr>
          <w:rFonts w:ascii="Arial" w:hAnsi="Arial" w:cs="Arial"/>
          <w:b/>
          <w:sz w:val="24"/>
          <w:szCs w:val="24"/>
        </w:rPr>
        <w:t>X. FAETA:</w:t>
      </w:r>
      <w:r w:rsidRPr="008A21C0">
        <w:rPr>
          <w:rFonts w:ascii="Arial" w:hAnsi="Arial" w:cs="Arial"/>
          <w:sz w:val="24"/>
          <w:szCs w:val="24"/>
        </w:rPr>
        <w:t xml:space="preserve"> Al Fondo de Aportaciones para la Educación Tecnológica y de Adultos.</w:t>
      </w:r>
    </w:p>
    <w:p w:rsidR="00372DAF" w:rsidRPr="008A21C0" w:rsidRDefault="00372DAF" w:rsidP="00372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2DAF" w:rsidRPr="008A21C0" w:rsidRDefault="00372DAF" w:rsidP="00372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5574">
        <w:rPr>
          <w:rFonts w:ascii="Arial" w:hAnsi="Arial" w:cs="Arial"/>
          <w:b/>
          <w:sz w:val="24"/>
          <w:szCs w:val="24"/>
        </w:rPr>
        <w:t>XI. FAFEF:</w:t>
      </w:r>
      <w:r w:rsidRPr="008A21C0">
        <w:rPr>
          <w:rFonts w:ascii="Arial" w:hAnsi="Arial" w:cs="Arial"/>
          <w:sz w:val="24"/>
          <w:szCs w:val="24"/>
        </w:rPr>
        <w:t xml:space="preserve"> Al Fondo de Aportaciones para el Fortalecimiento de las Entidades Federativas.</w:t>
      </w:r>
    </w:p>
    <w:p w:rsidR="00372DAF" w:rsidRPr="008A21C0" w:rsidRDefault="00372DAF" w:rsidP="00372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2DAF" w:rsidRPr="008A21C0" w:rsidRDefault="00372DAF" w:rsidP="00372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5574">
        <w:rPr>
          <w:rFonts w:ascii="Arial" w:hAnsi="Arial" w:cs="Arial"/>
          <w:b/>
          <w:sz w:val="24"/>
          <w:szCs w:val="24"/>
        </w:rPr>
        <w:t>XII. FAM:</w:t>
      </w:r>
      <w:r w:rsidRPr="008A21C0">
        <w:rPr>
          <w:rFonts w:ascii="Arial" w:hAnsi="Arial" w:cs="Arial"/>
          <w:sz w:val="24"/>
          <w:szCs w:val="24"/>
        </w:rPr>
        <w:t xml:space="preserve"> Al Fondo de Aportaciones Múltiples.</w:t>
      </w:r>
    </w:p>
    <w:p w:rsidR="00372DAF" w:rsidRPr="008A21C0" w:rsidRDefault="00372DAF" w:rsidP="00372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2DAF" w:rsidRPr="008A21C0" w:rsidRDefault="00372DAF" w:rsidP="00372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5574">
        <w:rPr>
          <w:rFonts w:ascii="Arial" w:hAnsi="Arial" w:cs="Arial"/>
          <w:b/>
          <w:sz w:val="24"/>
          <w:szCs w:val="24"/>
        </w:rPr>
        <w:t>XIII. FASP:</w:t>
      </w:r>
      <w:r w:rsidRPr="008A21C0">
        <w:rPr>
          <w:rFonts w:ascii="Arial" w:hAnsi="Arial" w:cs="Arial"/>
          <w:sz w:val="24"/>
          <w:szCs w:val="24"/>
        </w:rPr>
        <w:t xml:space="preserve"> Al Fondo de Aportaciones para la Seguridad Pública de los Estados y del Distrito Federal.</w:t>
      </w:r>
    </w:p>
    <w:p w:rsidR="00372DAF" w:rsidRPr="008A21C0" w:rsidRDefault="00372DAF" w:rsidP="00372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2DAF" w:rsidRPr="008A21C0" w:rsidRDefault="00372DAF" w:rsidP="00372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5574">
        <w:rPr>
          <w:rFonts w:ascii="Arial" w:hAnsi="Arial" w:cs="Arial"/>
          <w:b/>
          <w:sz w:val="24"/>
          <w:szCs w:val="24"/>
        </w:rPr>
        <w:t>XIV. FASSA:</w:t>
      </w:r>
      <w:r w:rsidRPr="008A21C0">
        <w:rPr>
          <w:rFonts w:ascii="Arial" w:hAnsi="Arial" w:cs="Arial"/>
          <w:sz w:val="24"/>
          <w:szCs w:val="24"/>
        </w:rPr>
        <w:t xml:space="preserve"> Al Fondo de Aportaciones para los Servicios de Salud.</w:t>
      </w:r>
    </w:p>
    <w:p w:rsidR="00372DAF" w:rsidRPr="008A21C0" w:rsidRDefault="00372DAF" w:rsidP="00372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2DAF" w:rsidRPr="008A21C0" w:rsidRDefault="00372DAF" w:rsidP="00372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5574">
        <w:rPr>
          <w:rFonts w:ascii="Arial" w:hAnsi="Arial" w:cs="Arial"/>
          <w:b/>
          <w:sz w:val="24"/>
          <w:szCs w:val="24"/>
        </w:rPr>
        <w:t>XV. FISE:</w:t>
      </w:r>
      <w:r w:rsidRPr="008A21C0">
        <w:rPr>
          <w:rFonts w:ascii="Arial" w:hAnsi="Arial" w:cs="Arial"/>
          <w:sz w:val="24"/>
          <w:szCs w:val="24"/>
        </w:rPr>
        <w:t xml:space="preserve"> Al Fondo de Aportaciones para la Infraestructura Social Estatal.</w:t>
      </w:r>
    </w:p>
    <w:p w:rsidR="00372DAF" w:rsidRPr="008A21C0" w:rsidRDefault="00372DAF" w:rsidP="00372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2DAF" w:rsidRPr="008A21C0" w:rsidRDefault="00372DAF" w:rsidP="00372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5574">
        <w:rPr>
          <w:rFonts w:ascii="Arial" w:hAnsi="Arial" w:cs="Arial"/>
          <w:b/>
          <w:sz w:val="24"/>
          <w:szCs w:val="24"/>
        </w:rPr>
        <w:t>XVI. FONE:</w:t>
      </w:r>
      <w:r w:rsidRPr="008A21C0">
        <w:rPr>
          <w:rFonts w:ascii="Arial" w:hAnsi="Arial" w:cs="Arial"/>
          <w:sz w:val="24"/>
          <w:szCs w:val="24"/>
        </w:rPr>
        <w:t xml:space="preserve"> Al Fondo de Aportaciones para la Nómina Educativa y Gasto Operativo.</w:t>
      </w:r>
    </w:p>
    <w:p w:rsidR="00372DAF" w:rsidRPr="008A21C0" w:rsidRDefault="00372DAF" w:rsidP="00372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2DAF" w:rsidRPr="008A21C0" w:rsidRDefault="00372DAF" w:rsidP="00372DAF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A75574">
        <w:rPr>
          <w:rFonts w:ascii="Arial" w:hAnsi="Arial" w:cs="Arial"/>
          <w:b/>
          <w:sz w:val="24"/>
          <w:szCs w:val="24"/>
        </w:rPr>
        <w:t>XVII. Intermediario Financiero:</w:t>
      </w:r>
      <w:r w:rsidRPr="008A21C0">
        <w:rPr>
          <w:rFonts w:ascii="Arial" w:eastAsiaTheme="minorEastAsia" w:hAnsi="Arial" w:cs="Arial"/>
          <w:sz w:val="24"/>
          <w:szCs w:val="24"/>
        </w:rPr>
        <w:t xml:space="preserve"> A las instituciones bancarias o no bancarias, que puedan realizar operaciones de Descuento Financiero</w:t>
      </w:r>
      <w:r w:rsidRPr="008A21C0">
        <w:rPr>
          <w:rFonts w:ascii="Arial" w:hAnsi="Arial" w:cs="Arial"/>
          <w:sz w:val="24"/>
          <w:szCs w:val="24"/>
        </w:rPr>
        <w:t xml:space="preserve"> </w:t>
      </w:r>
      <w:r w:rsidRPr="008A21C0">
        <w:rPr>
          <w:rFonts w:ascii="Arial" w:eastAsiaTheme="minorEastAsia" w:hAnsi="Arial" w:cs="Arial"/>
          <w:sz w:val="24"/>
          <w:szCs w:val="24"/>
        </w:rPr>
        <w:t>Electrónico en Cadenas Productivas.</w:t>
      </w:r>
    </w:p>
    <w:p w:rsidR="00372DAF" w:rsidRPr="008A21C0" w:rsidRDefault="00372DAF" w:rsidP="00372DAF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372DAF" w:rsidRPr="008A21C0" w:rsidRDefault="00372DAF" w:rsidP="00372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5574">
        <w:rPr>
          <w:rFonts w:ascii="Arial" w:hAnsi="Arial" w:cs="Arial"/>
          <w:b/>
          <w:bCs/>
          <w:sz w:val="24"/>
          <w:szCs w:val="24"/>
        </w:rPr>
        <w:t>XVIII. ISR:</w:t>
      </w:r>
      <w:r w:rsidRPr="008A21C0">
        <w:rPr>
          <w:rFonts w:ascii="Arial" w:hAnsi="Arial" w:cs="Arial"/>
          <w:sz w:val="24"/>
          <w:szCs w:val="24"/>
        </w:rPr>
        <w:t xml:space="preserve"> Al Impuesto Sobre la Renta.</w:t>
      </w:r>
    </w:p>
    <w:p w:rsidR="00372DAF" w:rsidRPr="008A21C0" w:rsidRDefault="00372DAF" w:rsidP="00372DA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72DAF" w:rsidRPr="008A21C0" w:rsidRDefault="00372DAF" w:rsidP="00372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5574">
        <w:rPr>
          <w:rFonts w:ascii="Arial" w:hAnsi="Arial" w:cs="Arial"/>
          <w:b/>
          <w:bCs/>
          <w:sz w:val="24"/>
          <w:szCs w:val="24"/>
        </w:rPr>
        <w:t>XIX. IVA:</w:t>
      </w:r>
      <w:r w:rsidRPr="008A21C0">
        <w:rPr>
          <w:rFonts w:ascii="Arial" w:hAnsi="Arial" w:cs="Arial"/>
          <w:sz w:val="24"/>
          <w:szCs w:val="24"/>
        </w:rPr>
        <w:t xml:space="preserve"> Al Impuesto al Valor Agregado.</w:t>
      </w:r>
    </w:p>
    <w:p w:rsidR="00372DAF" w:rsidRPr="008A21C0" w:rsidRDefault="00372DAF" w:rsidP="00372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2DAF" w:rsidRPr="008A21C0" w:rsidRDefault="00372DAF" w:rsidP="00372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5574">
        <w:rPr>
          <w:rFonts w:ascii="Arial" w:hAnsi="Arial" w:cs="Arial"/>
          <w:b/>
          <w:sz w:val="24"/>
          <w:szCs w:val="24"/>
        </w:rPr>
        <w:t>XX. Manual de Operación:</w:t>
      </w:r>
      <w:r w:rsidRPr="008A21C0">
        <w:rPr>
          <w:rFonts w:ascii="Arial" w:hAnsi="Arial" w:cs="Arial"/>
          <w:sz w:val="24"/>
          <w:szCs w:val="24"/>
        </w:rPr>
        <w:t xml:space="preserve"> Al documento emitido por NAFIN vía electrónica o por escrito, en el que se establecen los horarios, días, plazos y demás cuestiones de carácter operativo que regularán la operación de las Cadenas Productivas.</w:t>
      </w:r>
    </w:p>
    <w:p w:rsidR="00372DAF" w:rsidRPr="008A21C0" w:rsidRDefault="00372DAF" w:rsidP="00372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2DAF" w:rsidRDefault="00372DAF" w:rsidP="00372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5574">
        <w:rPr>
          <w:rFonts w:ascii="Arial" w:hAnsi="Arial" w:cs="Arial"/>
          <w:b/>
          <w:sz w:val="24"/>
          <w:szCs w:val="24"/>
        </w:rPr>
        <w:t>XXI. NAFIN:</w:t>
      </w:r>
      <w:r w:rsidRPr="008A21C0">
        <w:rPr>
          <w:rFonts w:ascii="Arial" w:hAnsi="Arial" w:cs="Arial"/>
          <w:sz w:val="24"/>
          <w:szCs w:val="24"/>
        </w:rPr>
        <w:t xml:space="preserve"> A Nacional Financiera, S.N.C., Institución de Banca de Desarrollo.</w:t>
      </w:r>
    </w:p>
    <w:p w:rsidR="00372DAF" w:rsidRDefault="00372DAF" w:rsidP="00372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2DAF" w:rsidRPr="008A21C0" w:rsidRDefault="00372DAF" w:rsidP="00372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XXI</w:t>
      </w:r>
      <w:r w:rsidRPr="00FC53B0">
        <w:rPr>
          <w:rFonts w:ascii="Arial" w:hAnsi="Arial" w:cs="Arial"/>
          <w:b/>
          <w:sz w:val="24"/>
          <w:szCs w:val="24"/>
        </w:rPr>
        <w:t>I. Organismos Públicos:</w:t>
      </w:r>
      <w:r>
        <w:rPr>
          <w:rFonts w:ascii="Arial" w:hAnsi="Arial" w:cs="Arial"/>
          <w:sz w:val="24"/>
          <w:szCs w:val="24"/>
        </w:rPr>
        <w:t xml:space="preserve"> A las dependencias, entidades y órganos ejecutores que integran los poderes ejecutivo, legislativo y judicial; así como los órganos autónomos, de conformidad con lo que establezca el marco legal aplicable.</w:t>
      </w:r>
    </w:p>
    <w:p w:rsidR="00372DAF" w:rsidRPr="008A21C0" w:rsidRDefault="00372DAF" w:rsidP="00372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2DAF" w:rsidRPr="008A21C0" w:rsidRDefault="00372DAF" w:rsidP="00372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5574">
        <w:rPr>
          <w:rFonts w:ascii="Arial" w:hAnsi="Arial" w:cs="Arial"/>
          <w:b/>
          <w:sz w:val="24"/>
          <w:szCs w:val="24"/>
        </w:rPr>
        <w:t>XXI</w:t>
      </w:r>
      <w:r>
        <w:rPr>
          <w:rFonts w:ascii="Arial" w:hAnsi="Arial" w:cs="Arial"/>
          <w:b/>
          <w:sz w:val="24"/>
          <w:szCs w:val="24"/>
        </w:rPr>
        <w:t>I</w:t>
      </w:r>
      <w:r w:rsidRPr="00A75574">
        <w:rPr>
          <w:rFonts w:ascii="Arial" w:hAnsi="Arial" w:cs="Arial"/>
          <w:b/>
          <w:sz w:val="24"/>
          <w:szCs w:val="24"/>
        </w:rPr>
        <w:t>I. Organismo Ejecutor:</w:t>
      </w:r>
      <w:r w:rsidRPr="008A21C0">
        <w:rPr>
          <w:rFonts w:ascii="Arial" w:hAnsi="Arial" w:cs="Arial"/>
          <w:sz w:val="24"/>
          <w:szCs w:val="24"/>
        </w:rPr>
        <w:t xml:space="preserve"> A los Poderes Ejecutivo, Legislativo, Judicial, Organismos  Autónomos, Entidades Paraestatales y municipios del Estado, que tengan o administren un patrimonio o presupuesto formado con recursos o bienes del erario estatal.</w:t>
      </w:r>
    </w:p>
    <w:p w:rsidR="00372DAF" w:rsidRPr="008A21C0" w:rsidRDefault="00372DAF" w:rsidP="00372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2DAF" w:rsidRPr="008A21C0" w:rsidRDefault="00372DAF" w:rsidP="00372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XXIV</w:t>
      </w:r>
      <w:r w:rsidRPr="00A75574">
        <w:rPr>
          <w:rFonts w:ascii="Arial" w:hAnsi="Arial" w:cs="Arial"/>
          <w:b/>
          <w:sz w:val="24"/>
          <w:szCs w:val="24"/>
        </w:rPr>
        <w:t>. PEC:</w:t>
      </w:r>
      <w:r w:rsidRPr="008A21C0">
        <w:rPr>
          <w:rFonts w:ascii="Arial" w:hAnsi="Arial" w:cs="Arial"/>
          <w:sz w:val="24"/>
          <w:szCs w:val="24"/>
        </w:rPr>
        <w:t xml:space="preserve"> Al Pago Electrónico de Contribuciones.</w:t>
      </w:r>
    </w:p>
    <w:p w:rsidR="00372DAF" w:rsidRPr="008A21C0" w:rsidRDefault="00372DAF" w:rsidP="00372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2DAF" w:rsidRPr="008A21C0" w:rsidRDefault="00372DAF" w:rsidP="00372DA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XXV</w:t>
      </w:r>
      <w:r w:rsidRPr="00A75574">
        <w:rPr>
          <w:rFonts w:ascii="Arial" w:hAnsi="Arial" w:cs="Arial"/>
          <w:b/>
          <w:sz w:val="24"/>
          <w:szCs w:val="24"/>
        </w:rPr>
        <w:t>. Proveedores o Contratistas:</w:t>
      </w:r>
      <w:r w:rsidRPr="008A21C0">
        <w:rPr>
          <w:rFonts w:ascii="Arial" w:hAnsi="Arial" w:cs="Arial"/>
          <w:sz w:val="24"/>
          <w:szCs w:val="24"/>
        </w:rPr>
        <w:t xml:space="preserve"> A las personas físicas y morales que hayan celebrado o celebren pedidos o contratos de adquisiciones o arrendamientos de bienes muebles, obra pública o servicios con los Organismos de la Administración Pública Centralizada y Paraestatal del Gobierno de Chiapas.</w:t>
      </w:r>
    </w:p>
    <w:p w:rsidR="00372DAF" w:rsidRPr="008A21C0" w:rsidRDefault="00372DAF" w:rsidP="00372DA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72DAF" w:rsidRPr="008A21C0" w:rsidRDefault="00372DAF" w:rsidP="00372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5574">
        <w:rPr>
          <w:rFonts w:ascii="Arial" w:hAnsi="Arial" w:cs="Arial"/>
          <w:b/>
          <w:sz w:val="24"/>
          <w:szCs w:val="24"/>
        </w:rPr>
        <w:t>XXV</w:t>
      </w:r>
      <w:r>
        <w:rPr>
          <w:rFonts w:ascii="Arial" w:hAnsi="Arial" w:cs="Arial"/>
          <w:b/>
          <w:sz w:val="24"/>
          <w:szCs w:val="24"/>
        </w:rPr>
        <w:t>I</w:t>
      </w:r>
      <w:r w:rsidRPr="00A75574">
        <w:rPr>
          <w:rFonts w:ascii="Arial" w:hAnsi="Arial" w:cs="Arial"/>
          <w:b/>
          <w:sz w:val="24"/>
          <w:szCs w:val="24"/>
        </w:rPr>
        <w:t>. RESICO.</w:t>
      </w:r>
      <w:r w:rsidRPr="008A21C0">
        <w:rPr>
          <w:rFonts w:ascii="Arial" w:hAnsi="Arial" w:cs="Arial"/>
          <w:sz w:val="24"/>
          <w:szCs w:val="24"/>
        </w:rPr>
        <w:t xml:space="preserve"> Régimen Simplificado de Contribuyentes.</w:t>
      </w:r>
    </w:p>
    <w:p w:rsidR="00372DAF" w:rsidRPr="008A21C0" w:rsidRDefault="00372DAF" w:rsidP="00372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2DAF" w:rsidRPr="008A21C0" w:rsidRDefault="00372DAF" w:rsidP="00372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5574">
        <w:rPr>
          <w:rFonts w:ascii="Arial" w:hAnsi="Arial" w:cs="Arial"/>
          <w:b/>
          <w:bCs/>
          <w:sz w:val="24"/>
          <w:szCs w:val="24"/>
        </w:rPr>
        <w:t>XXVI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A75574">
        <w:rPr>
          <w:rFonts w:ascii="Arial" w:hAnsi="Arial" w:cs="Arial"/>
          <w:b/>
          <w:bCs/>
          <w:sz w:val="24"/>
          <w:szCs w:val="24"/>
        </w:rPr>
        <w:t>. RFC:</w:t>
      </w:r>
      <w:r w:rsidRPr="008A21C0">
        <w:rPr>
          <w:rFonts w:ascii="Arial" w:hAnsi="Arial" w:cs="Arial"/>
          <w:sz w:val="24"/>
          <w:szCs w:val="24"/>
        </w:rPr>
        <w:t xml:space="preserve"> Al Registro Federal de Contribuyentes.</w:t>
      </w:r>
    </w:p>
    <w:p w:rsidR="00372DAF" w:rsidRPr="008A21C0" w:rsidRDefault="00372DAF" w:rsidP="00372DA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72DAF" w:rsidRPr="008A21C0" w:rsidRDefault="00372DAF" w:rsidP="00372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5574">
        <w:rPr>
          <w:rFonts w:ascii="Arial" w:hAnsi="Arial" w:cs="Arial"/>
          <w:b/>
          <w:bCs/>
          <w:sz w:val="24"/>
          <w:szCs w:val="24"/>
        </w:rPr>
        <w:t>XXVII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A75574">
        <w:rPr>
          <w:rFonts w:ascii="Arial" w:hAnsi="Arial" w:cs="Arial"/>
          <w:b/>
          <w:bCs/>
          <w:sz w:val="24"/>
          <w:szCs w:val="24"/>
        </w:rPr>
        <w:t>. SAT:</w:t>
      </w:r>
      <w:r w:rsidRPr="008A21C0">
        <w:rPr>
          <w:rFonts w:ascii="Arial" w:hAnsi="Arial" w:cs="Arial"/>
          <w:sz w:val="24"/>
          <w:szCs w:val="24"/>
        </w:rPr>
        <w:t xml:space="preserve"> Al Servicio de Administración Tributaria.</w:t>
      </w:r>
    </w:p>
    <w:p w:rsidR="00372DAF" w:rsidRPr="008A21C0" w:rsidRDefault="00372DAF" w:rsidP="00372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2DAF" w:rsidRPr="008A21C0" w:rsidRDefault="00372DAF" w:rsidP="00372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XXIX</w:t>
      </w:r>
      <w:r w:rsidRPr="00A75574">
        <w:rPr>
          <w:rFonts w:ascii="Arial" w:hAnsi="Arial" w:cs="Arial"/>
          <w:b/>
          <w:sz w:val="24"/>
          <w:szCs w:val="24"/>
        </w:rPr>
        <w:t>. SIAFF:</w:t>
      </w:r>
      <w:r w:rsidRPr="008A21C0">
        <w:rPr>
          <w:rFonts w:ascii="Arial" w:hAnsi="Arial" w:cs="Arial"/>
          <w:sz w:val="24"/>
          <w:szCs w:val="24"/>
        </w:rPr>
        <w:t xml:space="preserve"> Al Sistema Integral de Administración Financiera Federal.</w:t>
      </w:r>
    </w:p>
    <w:p w:rsidR="00372DAF" w:rsidRPr="008A21C0" w:rsidRDefault="00372DAF" w:rsidP="00372DA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72DAF" w:rsidRPr="008A21C0" w:rsidRDefault="00372DAF" w:rsidP="00372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XX</w:t>
      </w:r>
      <w:r w:rsidRPr="00A75574">
        <w:rPr>
          <w:rFonts w:ascii="Arial" w:hAnsi="Arial" w:cs="Arial"/>
          <w:b/>
          <w:bCs/>
          <w:sz w:val="24"/>
          <w:szCs w:val="24"/>
        </w:rPr>
        <w:t>X. TESOFE:</w:t>
      </w:r>
      <w:r w:rsidRPr="008A21C0">
        <w:rPr>
          <w:rFonts w:ascii="Arial" w:hAnsi="Arial" w:cs="Arial"/>
          <w:sz w:val="24"/>
          <w:szCs w:val="24"/>
        </w:rPr>
        <w:t xml:space="preserve"> A la Tesorería de la Federación.</w:t>
      </w:r>
    </w:p>
    <w:p w:rsidR="00372DAF" w:rsidRPr="008A21C0" w:rsidRDefault="00372DAF" w:rsidP="00372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2DAF" w:rsidRPr="008A21C0" w:rsidRDefault="00372DAF" w:rsidP="00372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5574">
        <w:rPr>
          <w:rFonts w:ascii="Arial" w:hAnsi="Arial" w:cs="Arial"/>
          <w:b/>
          <w:sz w:val="24"/>
          <w:szCs w:val="24"/>
        </w:rPr>
        <w:t>XXX</w:t>
      </w:r>
      <w:r>
        <w:rPr>
          <w:rFonts w:ascii="Arial" w:hAnsi="Arial" w:cs="Arial"/>
          <w:b/>
          <w:sz w:val="24"/>
          <w:szCs w:val="24"/>
        </w:rPr>
        <w:t>I</w:t>
      </w:r>
      <w:r w:rsidRPr="00A75574">
        <w:rPr>
          <w:rFonts w:ascii="Arial" w:hAnsi="Arial" w:cs="Arial"/>
          <w:b/>
          <w:sz w:val="24"/>
          <w:szCs w:val="24"/>
        </w:rPr>
        <w:t>. Ventanilla de ingresos de Tesorería.</w:t>
      </w:r>
      <w:r w:rsidRPr="008A21C0">
        <w:rPr>
          <w:rFonts w:ascii="Arial" w:hAnsi="Arial" w:cs="Arial"/>
          <w:sz w:val="24"/>
          <w:szCs w:val="24"/>
        </w:rPr>
        <w:t xml:space="preserve"> Ventanilla de Atención de ingresos de Tesorería del Departamento de Control de Fondos de la Dirección de Control Financiero de la Tesorería única.</w:t>
      </w:r>
    </w:p>
    <w:p w:rsidR="00372DAF" w:rsidRPr="008A21C0" w:rsidRDefault="00372DAF" w:rsidP="00372DA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372DAF" w:rsidRPr="008A21C0" w:rsidRDefault="00372DAF" w:rsidP="00372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5574">
        <w:rPr>
          <w:rFonts w:ascii="Arial" w:hAnsi="Arial" w:cs="Arial"/>
          <w:b/>
          <w:bCs/>
          <w:sz w:val="24"/>
          <w:szCs w:val="24"/>
          <w:lang w:val="es-ES"/>
        </w:rPr>
        <w:t>XXXI</w:t>
      </w:r>
      <w:r>
        <w:rPr>
          <w:rFonts w:ascii="Arial" w:hAnsi="Arial" w:cs="Arial"/>
          <w:b/>
          <w:bCs/>
          <w:sz w:val="24"/>
          <w:szCs w:val="24"/>
          <w:lang w:val="es-ES"/>
        </w:rPr>
        <w:t>I</w:t>
      </w:r>
      <w:r w:rsidRPr="00A75574">
        <w:rPr>
          <w:rFonts w:ascii="Arial" w:hAnsi="Arial" w:cs="Arial"/>
          <w:b/>
          <w:bCs/>
          <w:sz w:val="24"/>
          <w:szCs w:val="24"/>
          <w:lang w:val="es-ES"/>
        </w:rPr>
        <w:t>. Ventanilla de Trámite de Pagos Centralizados.</w:t>
      </w:r>
      <w:r w:rsidRPr="008A21C0">
        <w:rPr>
          <w:rFonts w:ascii="Arial" w:hAnsi="Arial" w:cs="Arial"/>
          <w:bCs/>
          <w:sz w:val="24"/>
          <w:szCs w:val="24"/>
          <w:lang w:val="es-ES"/>
        </w:rPr>
        <w:t xml:space="preserve"> Ventanilla de Atención de trámites de pagos centralizados del Departamento de control de Fondos </w:t>
      </w:r>
      <w:r w:rsidRPr="008A21C0">
        <w:rPr>
          <w:rFonts w:ascii="Arial" w:hAnsi="Arial" w:cs="Arial"/>
          <w:sz w:val="24"/>
          <w:szCs w:val="24"/>
        </w:rPr>
        <w:t>de la Dirección de Control Financiero de la Tesorería única.</w:t>
      </w:r>
    </w:p>
    <w:p w:rsidR="00372DAF" w:rsidRPr="008A21C0" w:rsidRDefault="00372DAF" w:rsidP="00372D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kern w:val="28"/>
          <w:sz w:val="24"/>
          <w:szCs w:val="24"/>
        </w:rPr>
      </w:pPr>
      <w:bookmarkStart w:id="0" w:name="_GoBack"/>
      <w:bookmarkEnd w:id="0"/>
    </w:p>
    <w:sectPr w:rsidR="00372DAF" w:rsidRPr="008A21C0" w:rsidSect="004550B5">
      <w:headerReference w:type="default" r:id="rId8"/>
      <w:footerReference w:type="default" r:id="rId9"/>
      <w:pgSz w:w="15840" w:h="12240" w:orient="landscape"/>
      <w:pgMar w:top="1469" w:right="2090" w:bottom="1183" w:left="2127" w:header="426" w:footer="45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E0B" w:rsidRDefault="00C76E0B" w:rsidP="004550B5">
      <w:pPr>
        <w:spacing w:after="0" w:line="240" w:lineRule="auto"/>
      </w:pPr>
      <w:r>
        <w:separator/>
      </w:r>
    </w:p>
  </w:endnote>
  <w:endnote w:type="continuationSeparator" w:id="0">
    <w:p w:rsidR="00C76E0B" w:rsidRDefault="00C76E0B" w:rsidP="00455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18" w:rsidRDefault="00C76E0B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es-ES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4550B5" w:rsidRPr="004550B5">
      <w:rPr>
        <w:rFonts w:asciiTheme="majorHAnsi" w:eastAsiaTheme="majorEastAsia" w:hAnsiTheme="majorHAnsi" w:cstheme="majorBidi"/>
        <w:noProof/>
        <w:lang w:val="es-ES"/>
      </w:rPr>
      <w:t>4</w:t>
    </w:r>
    <w:r>
      <w:rPr>
        <w:rFonts w:asciiTheme="majorHAnsi" w:eastAsiaTheme="majorEastAsia" w:hAnsiTheme="majorHAnsi" w:cstheme="majorBidi"/>
      </w:rPr>
      <w:fldChar w:fldCharType="end"/>
    </w:r>
  </w:p>
  <w:p w:rsidR="00631218" w:rsidRDefault="00C76E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E0B" w:rsidRDefault="00C76E0B" w:rsidP="004550B5">
      <w:pPr>
        <w:spacing w:after="0" w:line="240" w:lineRule="auto"/>
      </w:pPr>
      <w:r>
        <w:separator/>
      </w:r>
    </w:p>
  </w:footnote>
  <w:footnote w:type="continuationSeparator" w:id="0">
    <w:p w:rsidR="00C76E0B" w:rsidRDefault="00C76E0B" w:rsidP="00455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18" w:rsidRPr="003E693D" w:rsidRDefault="00C76E0B" w:rsidP="00801C07">
    <w:pPr>
      <w:pStyle w:val="Encabezado"/>
      <w:jc w:val="center"/>
      <w:rPr>
        <w:rFonts w:ascii="Tahoma" w:hAnsi="Tahoma" w:cs="Tahoma"/>
        <w:b/>
        <w:w w:val="80"/>
      </w:rPr>
    </w:pPr>
    <w:r w:rsidRPr="003E693D">
      <w:rPr>
        <w:rFonts w:ascii="Arial" w:hAnsi="Arial" w:cs="Arial"/>
        <w:noProof/>
        <w:w w:val="80"/>
      </w:rPr>
      <w:drawing>
        <wp:anchor distT="0" distB="0" distL="114300" distR="114300" simplePos="0" relativeHeight="251660288" behindDoc="1" locked="0" layoutInCell="1" allowOverlap="1" wp14:anchorId="7543D939" wp14:editId="46F14D2E">
          <wp:simplePos x="0" y="0"/>
          <wp:positionH relativeFrom="column">
            <wp:posOffset>122142</wp:posOffset>
          </wp:positionH>
          <wp:positionV relativeFrom="paragraph">
            <wp:posOffset>-19050</wp:posOffset>
          </wp:positionV>
          <wp:extent cx="831146" cy="400613"/>
          <wp:effectExtent l="0" t="0" r="762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146" cy="4006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693D">
      <w:rPr>
        <w:rFonts w:ascii="Arial" w:hAnsi="Arial" w:cs="Arial"/>
        <w:b/>
        <w:w w:val="80"/>
      </w:rPr>
      <w:t>Normatividad Financiera para el Estado de Chiapas para el Ejercicio Fiscal 2024</w:t>
    </w:r>
  </w:p>
  <w:p w:rsidR="00631218" w:rsidRPr="002A28E5" w:rsidRDefault="00C76E0B" w:rsidP="00801C07">
    <w:pPr>
      <w:pStyle w:val="Encabezado"/>
      <w:jc w:val="center"/>
      <w:rPr>
        <w:rFonts w:ascii="Tahoma" w:hAnsi="Tahoma" w:cs="Tahoma"/>
        <w:w w:val="80"/>
        <w:sz w:val="8"/>
        <w:szCs w:val="8"/>
      </w:rPr>
    </w:pPr>
    <w:r w:rsidRPr="002A28E5">
      <w:rPr>
        <w:rFonts w:ascii="Tahoma" w:hAnsi="Tahoma" w:cs="Tahoma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2AB6A7" wp14:editId="2BADEF73">
              <wp:simplePos x="0" y="0"/>
              <wp:positionH relativeFrom="column">
                <wp:posOffset>1568825</wp:posOffset>
              </wp:positionH>
              <wp:positionV relativeFrom="paragraph">
                <wp:posOffset>20527</wp:posOffset>
              </wp:positionV>
              <wp:extent cx="4252335" cy="0"/>
              <wp:effectExtent l="0" t="0" r="15240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52335" cy="0"/>
                      </a:xfrm>
                      <a:prstGeom prst="line">
                        <a:avLst/>
                      </a:prstGeom>
                      <a:ln w="15875" cmpd="sng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5pt,1.6pt" to="458.4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" strokecolor="#4579b8 [3044]" strokeweight="1.25pt"/>
          </w:pict>
        </mc:Fallback>
      </mc:AlternateContent>
    </w:r>
  </w:p>
  <w:p w:rsidR="00631218" w:rsidRPr="003E693D" w:rsidRDefault="00C76E0B" w:rsidP="00801C07">
    <w:pPr>
      <w:pStyle w:val="Encabezado"/>
      <w:jc w:val="center"/>
      <w:rPr>
        <w:rFonts w:ascii="Tahoma" w:hAnsi="Tahoma" w:cs="Tahoma"/>
        <w:w w:val="80"/>
        <w:sz w:val="18"/>
        <w:szCs w:val="18"/>
      </w:rPr>
    </w:pPr>
    <w:r w:rsidRPr="003E693D">
      <w:rPr>
        <w:rFonts w:ascii="Tahoma" w:hAnsi="Tahoma" w:cs="Tahoma"/>
        <w:w w:val="80"/>
        <w:sz w:val="18"/>
        <w:szCs w:val="18"/>
      </w:rPr>
      <w:t>Periódico Oficial No. 329 Tomo III  Publicación No.  4716-A-2024 7 de febrero de 2024</w:t>
    </w:r>
    <w:r w:rsidRPr="003E693D">
      <w:rPr>
        <w:rFonts w:ascii="Tahoma" w:hAnsi="Tahoma" w:cs="Tahoma"/>
        <w:w w:val="80"/>
        <w:sz w:val="18"/>
        <w:szCs w:val="18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AF"/>
    <w:rsid w:val="00356D5A"/>
    <w:rsid w:val="00372DAF"/>
    <w:rsid w:val="004550B5"/>
    <w:rsid w:val="009027D0"/>
    <w:rsid w:val="009559E5"/>
    <w:rsid w:val="009E6AB8"/>
    <w:rsid w:val="00C76E0B"/>
    <w:rsid w:val="00E2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DAF"/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rsid w:val="00372DAF"/>
    <w:pPr>
      <w:autoSpaceDE w:val="0"/>
      <w:autoSpaceDN w:val="0"/>
      <w:adjustRightInd w:val="0"/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99"/>
    <w:rsid w:val="00372DAF"/>
    <w:rPr>
      <w:rFonts w:ascii="Cambria" w:eastAsia="Times New Roman" w:hAnsi="Cambria" w:cs="Times New Roman"/>
      <w:b/>
      <w:bCs/>
      <w:kern w:val="28"/>
      <w:sz w:val="32"/>
      <w:szCs w:val="32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72D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2DAF"/>
    <w:rPr>
      <w:rFonts w:ascii="Calibri" w:eastAsia="Times New Roman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372D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2DAF"/>
    <w:rPr>
      <w:rFonts w:ascii="Calibri" w:eastAsia="Times New Roman" w:hAnsi="Calibri" w:cs="Times New Roman"/>
      <w:lang w:eastAsia="es-MX"/>
    </w:rPr>
  </w:style>
  <w:style w:type="paragraph" w:styleId="Prrafodelista">
    <w:name w:val="List Paragraph"/>
    <w:basedOn w:val="Normal"/>
    <w:uiPriority w:val="99"/>
    <w:qFormat/>
    <w:rsid w:val="00372DAF"/>
    <w:pPr>
      <w:ind w:left="708"/>
    </w:pPr>
  </w:style>
  <w:style w:type="paragraph" w:customStyle="1" w:styleId="Prrafodelista2">
    <w:name w:val="Párrafo de lista2"/>
    <w:basedOn w:val="Normal"/>
    <w:uiPriority w:val="99"/>
    <w:rsid w:val="00372DAF"/>
    <w:pPr>
      <w:ind w:left="720"/>
      <w:contextualSpacing/>
    </w:pPr>
  </w:style>
  <w:style w:type="paragraph" w:customStyle="1" w:styleId="Default">
    <w:name w:val="Default"/>
    <w:uiPriority w:val="99"/>
    <w:rsid w:val="00372D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rsid w:val="00372DAF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DAF"/>
    <w:rPr>
      <w:rFonts w:ascii="Tahoma" w:eastAsia="Times New Roman" w:hAnsi="Tahoma" w:cs="Tahoma"/>
      <w:sz w:val="16"/>
      <w:szCs w:val="16"/>
      <w:lang w:eastAsia="es-MX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2D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2DAF"/>
    <w:rPr>
      <w:rFonts w:ascii="Calibri" w:eastAsia="Times New Roman" w:hAnsi="Calibri" w:cs="Times New Roman"/>
      <w:sz w:val="20"/>
      <w:szCs w:val="20"/>
      <w:lang w:eastAsia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2DAF"/>
    <w:rPr>
      <w:rFonts w:ascii="Calibri" w:eastAsia="Times New Roman" w:hAnsi="Calibri" w:cs="Times New Roman"/>
      <w:b/>
      <w:bCs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2DAF"/>
    <w:rPr>
      <w:b/>
      <w:bCs/>
    </w:rPr>
  </w:style>
  <w:style w:type="character" w:customStyle="1" w:styleId="AsuntodelcomentarioCar1">
    <w:name w:val="Asunto del comentario Car1"/>
    <w:basedOn w:val="TextocomentarioCar"/>
    <w:uiPriority w:val="99"/>
    <w:semiHidden/>
    <w:rsid w:val="00372DAF"/>
    <w:rPr>
      <w:rFonts w:ascii="Calibri" w:eastAsia="Times New Roman" w:hAnsi="Calibri" w:cs="Times New Roman"/>
      <w:b/>
      <w:bCs/>
      <w:sz w:val="20"/>
      <w:szCs w:val="20"/>
      <w:lang w:eastAsia="es-MX"/>
    </w:rPr>
  </w:style>
  <w:style w:type="table" w:styleId="Tablaconcuadrcula">
    <w:name w:val="Table Grid"/>
    <w:basedOn w:val="Tablanormal"/>
    <w:uiPriority w:val="59"/>
    <w:rsid w:val="00372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DAF"/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rsid w:val="00372DAF"/>
    <w:pPr>
      <w:autoSpaceDE w:val="0"/>
      <w:autoSpaceDN w:val="0"/>
      <w:adjustRightInd w:val="0"/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99"/>
    <w:rsid w:val="00372DAF"/>
    <w:rPr>
      <w:rFonts w:ascii="Cambria" w:eastAsia="Times New Roman" w:hAnsi="Cambria" w:cs="Times New Roman"/>
      <w:b/>
      <w:bCs/>
      <w:kern w:val="28"/>
      <w:sz w:val="32"/>
      <w:szCs w:val="32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72D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2DAF"/>
    <w:rPr>
      <w:rFonts w:ascii="Calibri" w:eastAsia="Times New Roman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372D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2DAF"/>
    <w:rPr>
      <w:rFonts w:ascii="Calibri" w:eastAsia="Times New Roman" w:hAnsi="Calibri" w:cs="Times New Roman"/>
      <w:lang w:eastAsia="es-MX"/>
    </w:rPr>
  </w:style>
  <w:style w:type="paragraph" w:styleId="Prrafodelista">
    <w:name w:val="List Paragraph"/>
    <w:basedOn w:val="Normal"/>
    <w:uiPriority w:val="99"/>
    <w:qFormat/>
    <w:rsid w:val="00372DAF"/>
    <w:pPr>
      <w:ind w:left="708"/>
    </w:pPr>
  </w:style>
  <w:style w:type="paragraph" w:customStyle="1" w:styleId="Prrafodelista2">
    <w:name w:val="Párrafo de lista2"/>
    <w:basedOn w:val="Normal"/>
    <w:uiPriority w:val="99"/>
    <w:rsid w:val="00372DAF"/>
    <w:pPr>
      <w:ind w:left="720"/>
      <w:contextualSpacing/>
    </w:pPr>
  </w:style>
  <w:style w:type="paragraph" w:customStyle="1" w:styleId="Default">
    <w:name w:val="Default"/>
    <w:uiPriority w:val="99"/>
    <w:rsid w:val="00372D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rsid w:val="00372DAF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DAF"/>
    <w:rPr>
      <w:rFonts w:ascii="Tahoma" w:eastAsia="Times New Roman" w:hAnsi="Tahoma" w:cs="Tahoma"/>
      <w:sz w:val="16"/>
      <w:szCs w:val="16"/>
      <w:lang w:eastAsia="es-MX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2D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2DAF"/>
    <w:rPr>
      <w:rFonts w:ascii="Calibri" w:eastAsia="Times New Roman" w:hAnsi="Calibri" w:cs="Times New Roman"/>
      <w:sz w:val="20"/>
      <w:szCs w:val="20"/>
      <w:lang w:eastAsia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2DAF"/>
    <w:rPr>
      <w:rFonts w:ascii="Calibri" w:eastAsia="Times New Roman" w:hAnsi="Calibri" w:cs="Times New Roman"/>
      <w:b/>
      <w:bCs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2DAF"/>
    <w:rPr>
      <w:b/>
      <w:bCs/>
    </w:rPr>
  </w:style>
  <w:style w:type="character" w:customStyle="1" w:styleId="AsuntodelcomentarioCar1">
    <w:name w:val="Asunto del comentario Car1"/>
    <w:basedOn w:val="TextocomentarioCar"/>
    <w:uiPriority w:val="99"/>
    <w:semiHidden/>
    <w:rsid w:val="00372DAF"/>
    <w:rPr>
      <w:rFonts w:ascii="Calibri" w:eastAsia="Times New Roman" w:hAnsi="Calibri" w:cs="Times New Roman"/>
      <w:b/>
      <w:bCs/>
      <w:sz w:val="20"/>
      <w:szCs w:val="20"/>
      <w:lang w:eastAsia="es-MX"/>
    </w:rPr>
  </w:style>
  <w:style w:type="table" w:styleId="Tablaconcuadrcula">
    <w:name w:val="Table Grid"/>
    <w:basedOn w:val="Tablanormal"/>
    <w:uiPriority w:val="59"/>
    <w:rsid w:val="00372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718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Guadalupe López Morales</dc:creator>
  <cp:lastModifiedBy>Verónica Guadalupe López Morales</cp:lastModifiedBy>
  <cp:revision>2</cp:revision>
  <dcterms:created xsi:type="dcterms:W3CDTF">2024-02-21T17:03:00Z</dcterms:created>
  <dcterms:modified xsi:type="dcterms:W3CDTF">2024-02-21T18:01:00Z</dcterms:modified>
</cp:coreProperties>
</file>